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B9AEF">
      <w:pPr>
        <w:pStyle w:val="2"/>
        <w:jc w:val="center"/>
      </w:pPr>
      <w:r>
        <w:rPr>
          <w:rFonts w:hint="eastAsia"/>
          <w:lang w:eastAsia="zh-CN"/>
        </w:rPr>
        <w:t>网络安全</w:t>
      </w:r>
      <w:r>
        <w:rPr>
          <w:rFonts w:hint="eastAsia"/>
        </w:rPr>
        <w:t>服务</w:t>
      </w:r>
      <w:r>
        <w:rPr>
          <w:rFonts w:hint="eastAsia"/>
          <w:lang w:eastAsia="zh-CN"/>
        </w:rPr>
        <w:t>具体</w:t>
      </w:r>
      <w:r>
        <w:rPr>
          <w:rFonts w:hint="eastAsia"/>
        </w:rPr>
        <w:t>要求</w:t>
      </w:r>
    </w:p>
    <w:p w14:paraId="27706D59">
      <w:pPr>
        <w:pStyle w:val="3"/>
      </w:pPr>
      <w:r>
        <w:rPr>
          <w:rFonts w:hint="eastAsia"/>
        </w:rPr>
        <w:t>1.★服务方式</w:t>
      </w:r>
    </w:p>
    <w:p w14:paraId="20839710">
      <w:pPr>
        <w:ind w:firstLine="560"/>
      </w:pPr>
      <w:r>
        <w:rPr>
          <w:rFonts w:hint="eastAsia"/>
        </w:rPr>
        <w:t>采用基于实战的一体化网络安全运营服务，服务工具和线下安全专家相结合的服务方式，服务工具具备7*24小时在线监测和告警能力。</w:t>
      </w:r>
      <w:bookmarkStart w:id="0" w:name="_Toc130999451"/>
      <w:bookmarkStart w:id="1" w:name="_Toc111713253"/>
      <w:bookmarkStart w:id="2" w:name="_Toc25612"/>
      <w:bookmarkStart w:id="3" w:name="_Toc31377"/>
      <w:bookmarkStart w:id="4" w:name="_Toc26792"/>
    </w:p>
    <w:p w14:paraId="105162E9">
      <w:pPr>
        <w:pStyle w:val="3"/>
      </w:pPr>
      <w:r>
        <w:rPr>
          <w:rFonts w:hint="eastAsia"/>
        </w:rPr>
        <w:t>2.服务内容</w:t>
      </w:r>
      <w:bookmarkEnd w:id="0"/>
      <w:bookmarkEnd w:id="1"/>
      <w:bookmarkEnd w:id="2"/>
      <w:bookmarkEnd w:id="3"/>
      <w:bookmarkEnd w:id="4"/>
      <w:r>
        <w:rPr>
          <w:rFonts w:hint="eastAsia"/>
        </w:rPr>
        <w:t>：</w:t>
      </w:r>
    </w:p>
    <w:p w14:paraId="1D4C4217">
      <w:pPr>
        <w:pStyle w:val="4"/>
      </w:pPr>
      <w:bookmarkStart w:id="5" w:name="_Toc28094"/>
      <w:bookmarkStart w:id="6" w:name="_Toc21585"/>
      <w:bookmarkStart w:id="7" w:name="_Toc4048"/>
      <w:bookmarkStart w:id="8" w:name="_Toc130999452"/>
      <w:bookmarkStart w:id="9" w:name="_Toc111713254"/>
      <w:r>
        <w:rPr>
          <w:rFonts w:hint="eastAsia"/>
        </w:rPr>
        <w:t>2.1渗透测试服务</w:t>
      </w:r>
      <w:bookmarkEnd w:id="5"/>
      <w:bookmarkEnd w:id="6"/>
      <w:bookmarkEnd w:id="7"/>
      <w:bookmarkEnd w:id="8"/>
      <w:bookmarkEnd w:id="9"/>
    </w:p>
    <w:p w14:paraId="11901DBD">
      <w:pPr>
        <w:ind w:firstLine="560"/>
      </w:pPr>
      <w:r>
        <w:rPr>
          <w:rFonts w:hint="eastAsia"/>
        </w:rPr>
        <w:t>渗透测试针对具体某个或几个系统，重点发现技术或业务逻辑层面的漏洞。然而，即使系统内部经过渗透测试，外部仍有可能出现信息泄露等安全事件的风险。因此，希望通过从外部、内部进行渗透测试，从技术、管理、业务逻辑的角度来全面发现漏洞，充分挖掘客户信息泄露的途径（可追溯性），从根源解决存在的漏洞或问题，减少客户信息泄露事件的发生。</w:t>
      </w:r>
    </w:p>
    <w:p w14:paraId="466E5F0B">
      <w:pPr>
        <w:ind w:firstLine="560"/>
      </w:pPr>
      <w:r>
        <w:rPr>
          <w:rFonts w:hint="eastAsia"/>
        </w:rPr>
        <w:t>服务单位使用人工渗透测试技术，对业主单位管辖范围内的Web站点进行最大限度的挖掘SQL盲注、代码注入、struts2、越权、逻辑错误、存储型跨站脚本、中间件弱口令等使用扫描工具无法排查或挖掘的安全漏洞，并提交漏洞风险报告。</w:t>
      </w:r>
    </w:p>
    <w:tbl>
      <w:tblPr>
        <w:tblStyle w:val="9"/>
        <w:tblW w:w="4923" w:type="pct"/>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1"/>
        <w:gridCol w:w="1307"/>
        <w:gridCol w:w="2176"/>
        <w:gridCol w:w="2903"/>
        <w:gridCol w:w="1972"/>
      </w:tblGrid>
      <w:tr w14:paraId="3CF13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40" w:type="pct"/>
            <w:shd w:val="clear" w:color="auto" w:fill="EEECE1"/>
            <w:vAlign w:val="center"/>
          </w:tcPr>
          <w:p w14:paraId="1340FA5F">
            <w:pPr>
              <w:pStyle w:val="20"/>
              <w:jc w:val="both"/>
            </w:pPr>
            <w:r>
              <w:rPr>
                <w:rFonts w:hint="eastAsia"/>
              </w:rPr>
              <w:t>服务方式</w:t>
            </w:r>
          </w:p>
        </w:tc>
        <w:tc>
          <w:tcPr>
            <w:tcW w:w="666" w:type="pct"/>
            <w:shd w:val="clear" w:color="auto" w:fill="EEECE1"/>
            <w:vAlign w:val="center"/>
          </w:tcPr>
          <w:p w14:paraId="3ED1CC07">
            <w:pPr>
              <w:pStyle w:val="20"/>
              <w:jc w:val="both"/>
            </w:pPr>
            <w:r>
              <w:rPr>
                <w:rFonts w:hint="eastAsia"/>
              </w:rPr>
              <w:t>服务范围</w:t>
            </w:r>
          </w:p>
        </w:tc>
        <w:tc>
          <w:tcPr>
            <w:tcW w:w="1109" w:type="pct"/>
            <w:shd w:val="clear" w:color="auto" w:fill="EEECE1"/>
            <w:vAlign w:val="center"/>
          </w:tcPr>
          <w:p w14:paraId="118D0741">
            <w:pPr>
              <w:pStyle w:val="20"/>
              <w:jc w:val="both"/>
            </w:pPr>
            <w:r>
              <w:rPr>
                <w:rFonts w:hint="eastAsia"/>
              </w:rPr>
              <w:t>服务频率</w:t>
            </w:r>
          </w:p>
        </w:tc>
        <w:tc>
          <w:tcPr>
            <w:tcW w:w="1480" w:type="pct"/>
            <w:shd w:val="clear" w:color="auto" w:fill="EEECE1"/>
            <w:vAlign w:val="center"/>
          </w:tcPr>
          <w:p w14:paraId="6A5C12DD">
            <w:pPr>
              <w:pStyle w:val="20"/>
              <w:jc w:val="both"/>
            </w:pPr>
            <w:r>
              <w:rPr>
                <w:rFonts w:hint="eastAsia"/>
              </w:rPr>
              <w:t>配备安全设备</w:t>
            </w:r>
          </w:p>
        </w:tc>
        <w:tc>
          <w:tcPr>
            <w:tcW w:w="1006" w:type="pct"/>
            <w:shd w:val="clear" w:color="auto" w:fill="EEECE1"/>
            <w:vAlign w:val="center"/>
          </w:tcPr>
          <w:p w14:paraId="694CA8B6">
            <w:pPr>
              <w:pStyle w:val="20"/>
              <w:jc w:val="both"/>
            </w:pPr>
            <w:r>
              <w:rPr>
                <w:rFonts w:hint="eastAsia"/>
              </w:rPr>
              <w:t>服务成果</w:t>
            </w:r>
          </w:p>
        </w:tc>
      </w:tr>
      <w:tr w14:paraId="49E79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40" w:type="pct"/>
            <w:vAlign w:val="center"/>
          </w:tcPr>
          <w:p w14:paraId="0C7F5DB2">
            <w:pPr>
              <w:pStyle w:val="20"/>
              <w:jc w:val="both"/>
            </w:pPr>
            <w:r>
              <w:rPr>
                <w:rFonts w:hint="eastAsia"/>
              </w:rPr>
              <w:t>远程/现场</w:t>
            </w:r>
          </w:p>
        </w:tc>
        <w:tc>
          <w:tcPr>
            <w:tcW w:w="666" w:type="pct"/>
            <w:vAlign w:val="center"/>
          </w:tcPr>
          <w:p w14:paraId="0D3A1EA7">
            <w:pPr>
              <w:pStyle w:val="20"/>
              <w:jc w:val="both"/>
            </w:pPr>
            <w:r>
              <w:rPr>
                <w:rFonts w:hint="eastAsia"/>
              </w:rPr>
              <w:t>外网/内网</w:t>
            </w:r>
          </w:p>
        </w:tc>
        <w:tc>
          <w:tcPr>
            <w:tcW w:w="1109" w:type="pct"/>
            <w:vAlign w:val="center"/>
          </w:tcPr>
          <w:p w14:paraId="09B6ADDC">
            <w:pPr>
              <w:pStyle w:val="20"/>
              <w:jc w:val="both"/>
            </w:pPr>
            <w:r>
              <w:rPr>
                <w:rFonts w:hint="eastAsia"/>
              </w:rPr>
              <w:t>1年/1次</w:t>
            </w:r>
          </w:p>
        </w:tc>
        <w:tc>
          <w:tcPr>
            <w:tcW w:w="1480" w:type="pct"/>
            <w:vAlign w:val="center"/>
          </w:tcPr>
          <w:p w14:paraId="40388572">
            <w:pPr>
              <w:pStyle w:val="20"/>
              <w:jc w:val="both"/>
            </w:pPr>
            <w:r>
              <w:rPr>
                <w:rFonts w:hint="eastAsia"/>
              </w:rPr>
              <w:t>渗透测试工具、渗透测试结果可导入服务平台</w:t>
            </w:r>
          </w:p>
        </w:tc>
        <w:tc>
          <w:tcPr>
            <w:tcW w:w="1006" w:type="pct"/>
            <w:vAlign w:val="center"/>
          </w:tcPr>
          <w:p w14:paraId="53644CEA">
            <w:pPr>
              <w:pStyle w:val="20"/>
              <w:jc w:val="both"/>
            </w:pPr>
            <w:r>
              <w:rPr>
                <w:rFonts w:hint="eastAsia"/>
              </w:rPr>
              <w:t>《关键系统渗透测试报告》</w:t>
            </w:r>
          </w:p>
        </w:tc>
      </w:tr>
    </w:tbl>
    <w:p w14:paraId="54F5E46E">
      <w:pPr>
        <w:pStyle w:val="24"/>
        <w:ind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br w:type="page"/>
      </w:r>
    </w:p>
    <w:p w14:paraId="42C69038">
      <w:pPr>
        <w:pStyle w:val="4"/>
      </w:pPr>
      <w:bookmarkStart w:id="10" w:name="_Toc111713255"/>
      <w:bookmarkStart w:id="11" w:name="_Toc17362"/>
      <w:bookmarkStart w:id="12" w:name="_Toc130999453"/>
      <w:bookmarkStart w:id="13" w:name="_Toc6053"/>
      <w:bookmarkStart w:id="14" w:name="_Toc7448"/>
      <w:r>
        <w:rPr>
          <w:rFonts w:hint="eastAsia"/>
        </w:rPr>
        <w:t>2.2</w:t>
      </w:r>
      <w:bookmarkEnd w:id="10"/>
      <w:bookmarkEnd w:id="11"/>
      <w:bookmarkEnd w:id="12"/>
      <w:bookmarkEnd w:id="13"/>
      <w:bookmarkEnd w:id="14"/>
      <w:bookmarkStart w:id="15" w:name="_Toc6758"/>
      <w:bookmarkStart w:id="16" w:name="_Toc130999454"/>
      <w:bookmarkStart w:id="17" w:name="_Toc111713256"/>
      <w:bookmarkStart w:id="18" w:name="_Toc22676"/>
      <w:bookmarkStart w:id="19" w:name="_Toc11185"/>
      <w:r>
        <w:rPr>
          <w:rFonts w:hint="eastAsia"/>
        </w:rPr>
        <w:t>资产梳理服务</w:t>
      </w:r>
      <w:bookmarkEnd w:id="15"/>
      <w:bookmarkEnd w:id="16"/>
      <w:bookmarkEnd w:id="17"/>
      <w:bookmarkEnd w:id="18"/>
      <w:bookmarkEnd w:id="19"/>
    </w:p>
    <w:p w14:paraId="56978CD5">
      <w:pPr>
        <w:ind w:firstLine="560"/>
      </w:pPr>
      <w:r>
        <w:rPr>
          <w:rFonts w:hint="eastAsia"/>
        </w:rPr>
        <w:t>通过本地化部署平台对</w:t>
      </w:r>
      <w:r>
        <w:rPr>
          <w:rFonts w:hint="eastAsia"/>
          <w:lang w:eastAsia="zh-CN"/>
        </w:rPr>
        <w:t>梓潼县妇幼保健院</w:t>
      </w:r>
      <w:r>
        <w:rPr>
          <w:rFonts w:hint="eastAsia"/>
        </w:rPr>
        <w:t>的资产进行梳理，建立</w:t>
      </w:r>
      <w:r>
        <w:rPr>
          <w:rFonts w:hint="eastAsia"/>
          <w:lang w:eastAsia="zh-CN"/>
        </w:rPr>
        <w:t>梓潼县妇幼保健院</w:t>
      </w:r>
      <w:r>
        <w:rPr>
          <w:rFonts w:hint="eastAsia"/>
        </w:rPr>
        <w:t>有效安全资产管理，能以资产为安全管理单位进行有效的安全运维工作，并通过实时展示资产的安全风险指数。</w:t>
      </w:r>
    </w:p>
    <w:p w14:paraId="75E970BE">
      <w:pPr>
        <w:ind w:firstLine="560"/>
      </w:pPr>
      <w:r>
        <w:rPr>
          <w:rFonts w:hint="eastAsia"/>
        </w:rPr>
        <w:t>网站资产梳理服务：对单位网站进行自动化梳理服务，能主动探测互联网上暴露的资产，形成明确的资产清单，发现未知资产，并发现直接对外开放的危险连接方式。</w:t>
      </w:r>
    </w:p>
    <w:p w14:paraId="1A552794">
      <w:pPr>
        <w:ind w:firstLine="560"/>
      </w:pPr>
      <w:r>
        <w:rPr>
          <w:rFonts w:hint="eastAsia"/>
        </w:rPr>
        <w:t>服务器资产梳理服务：对单位服务器进行自动化梳理服务，包括操作系统版本、端口开放情况、协议情况、服务版本、应用程序版本等，实现对服务器的自动化运维管理。</w:t>
      </w:r>
    </w:p>
    <w:p w14:paraId="4BA86BD6">
      <w:pPr>
        <w:ind w:firstLine="560"/>
      </w:pPr>
      <w:r>
        <w:rPr>
          <w:rFonts w:hint="eastAsia"/>
        </w:rPr>
        <w:t>终端资产梳理服务：对单位终端PC资产自动化梳理服务，对识别到的所有IP地址进行有效管理，包括操作系统版本、端口开放情况、协议情况、服务版本、应用程序版本等</w:t>
      </w:r>
    </w:p>
    <w:p w14:paraId="6D5CF2E7">
      <w:pPr>
        <w:ind w:firstLine="560"/>
      </w:pPr>
      <w:r>
        <w:rPr>
          <w:rFonts w:hint="eastAsia"/>
        </w:rPr>
        <w:t>资产趋势分析服务：通过管理单位月度资产变化情况，包括IP和端口新增、减少、异常等，横向展示年度资产管理趋势服务。</w:t>
      </w:r>
    </w:p>
    <w:tbl>
      <w:tblPr>
        <w:tblStyle w:val="9"/>
        <w:tblpPr w:leftFromText="180" w:rightFromText="180" w:vertAnchor="text" w:horzAnchor="page" w:tblpXSpec="center" w:tblpY="339"/>
        <w:tblOverlap w:val="never"/>
        <w:tblW w:w="51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3"/>
        <w:gridCol w:w="1744"/>
        <w:gridCol w:w="1447"/>
        <w:gridCol w:w="2031"/>
        <w:gridCol w:w="3570"/>
      </w:tblGrid>
      <w:tr w14:paraId="25BA9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pct"/>
            <w:shd w:val="clear" w:color="auto" w:fill="EEECE1"/>
            <w:vAlign w:val="center"/>
          </w:tcPr>
          <w:p w14:paraId="5CC69848">
            <w:pPr>
              <w:pStyle w:val="20"/>
              <w:jc w:val="both"/>
            </w:pPr>
            <w:r>
              <w:rPr>
                <w:rFonts w:hint="eastAsia"/>
              </w:rPr>
              <w:t>服务方式</w:t>
            </w:r>
          </w:p>
        </w:tc>
        <w:tc>
          <w:tcPr>
            <w:tcW w:w="852" w:type="pct"/>
            <w:shd w:val="clear" w:color="auto" w:fill="EEECE1"/>
            <w:vAlign w:val="center"/>
          </w:tcPr>
          <w:p w14:paraId="49CCF8C4">
            <w:pPr>
              <w:pStyle w:val="20"/>
              <w:jc w:val="both"/>
            </w:pPr>
            <w:r>
              <w:rPr>
                <w:rFonts w:hint="eastAsia"/>
              </w:rPr>
              <w:t>服务范围</w:t>
            </w:r>
          </w:p>
        </w:tc>
        <w:tc>
          <w:tcPr>
            <w:tcW w:w="707" w:type="pct"/>
            <w:shd w:val="clear" w:color="auto" w:fill="EEECE1"/>
            <w:vAlign w:val="center"/>
          </w:tcPr>
          <w:p w14:paraId="577065A5">
            <w:pPr>
              <w:pStyle w:val="20"/>
              <w:jc w:val="both"/>
            </w:pPr>
            <w:r>
              <w:rPr>
                <w:rFonts w:hint="eastAsia"/>
              </w:rPr>
              <w:t>服务频率</w:t>
            </w:r>
          </w:p>
        </w:tc>
        <w:tc>
          <w:tcPr>
            <w:tcW w:w="992" w:type="pct"/>
            <w:shd w:val="clear" w:color="auto" w:fill="EEECE1"/>
            <w:vAlign w:val="center"/>
          </w:tcPr>
          <w:p w14:paraId="0DF8611B">
            <w:pPr>
              <w:pStyle w:val="20"/>
              <w:jc w:val="both"/>
            </w:pPr>
            <w:r>
              <w:rPr>
                <w:rFonts w:hint="eastAsia"/>
              </w:rPr>
              <w:t>配备服务工具</w:t>
            </w:r>
          </w:p>
        </w:tc>
        <w:tc>
          <w:tcPr>
            <w:tcW w:w="1744" w:type="pct"/>
            <w:shd w:val="clear" w:color="auto" w:fill="EEECE1"/>
            <w:vAlign w:val="center"/>
          </w:tcPr>
          <w:p w14:paraId="0CB20D72">
            <w:pPr>
              <w:pStyle w:val="20"/>
              <w:jc w:val="both"/>
            </w:pPr>
            <w:r>
              <w:rPr>
                <w:rFonts w:hint="eastAsia"/>
              </w:rPr>
              <w:t>输出报告</w:t>
            </w:r>
          </w:p>
        </w:tc>
      </w:tr>
      <w:tr w14:paraId="6E145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pct"/>
            <w:vAlign w:val="center"/>
          </w:tcPr>
          <w:p w14:paraId="01494028">
            <w:pPr>
              <w:pStyle w:val="20"/>
              <w:jc w:val="both"/>
            </w:pPr>
            <w:r>
              <w:rPr>
                <w:rFonts w:hint="eastAsia"/>
              </w:rPr>
              <w:t>现场服务</w:t>
            </w:r>
          </w:p>
        </w:tc>
        <w:tc>
          <w:tcPr>
            <w:tcW w:w="852" w:type="pct"/>
            <w:vAlign w:val="center"/>
          </w:tcPr>
          <w:p w14:paraId="722EEF75">
            <w:pPr>
              <w:pStyle w:val="20"/>
              <w:jc w:val="both"/>
            </w:pPr>
            <w:r>
              <w:rPr>
                <w:rFonts w:hint="eastAsia"/>
              </w:rPr>
              <w:t>网站、服务器、终端、其他网络资产</w:t>
            </w:r>
          </w:p>
        </w:tc>
        <w:tc>
          <w:tcPr>
            <w:tcW w:w="707" w:type="pct"/>
            <w:vAlign w:val="center"/>
          </w:tcPr>
          <w:p w14:paraId="0DA54CCD">
            <w:pPr>
              <w:pStyle w:val="20"/>
              <w:jc w:val="both"/>
            </w:pPr>
            <w:r>
              <w:rPr>
                <w:rFonts w:hint="eastAsia"/>
              </w:rPr>
              <w:t>常态化动态管理</w:t>
            </w:r>
          </w:p>
        </w:tc>
        <w:tc>
          <w:tcPr>
            <w:tcW w:w="992" w:type="pct"/>
            <w:vAlign w:val="center"/>
          </w:tcPr>
          <w:p w14:paraId="198005B4">
            <w:pPr>
              <w:pStyle w:val="20"/>
              <w:jc w:val="both"/>
            </w:pPr>
            <w:r>
              <w:rPr>
                <w:rFonts w:hint="eastAsia"/>
              </w:rPr>
              <w:t>提供平台服务工具本地化部署</w:t>
            </w:r>
          </w:p>
        </w:tc>
        <w:tc>
          <w:tcPr>
            <w:tcW w:w="1744" w:type="pct"/>
            <w:vAlign w:val="center"/>
          </w:tcPr>
          <w:p w14:paraId="5F678AD4">
            <w:pPr>
              <w:pStyle w:val="20"/>
              <w:jc w:val="both"/>
            </w:pPr>
            <w:r>
              <w:rPr>
                <w:rFonts w:hint="eastAsia"/>
              </w:rPr>
              <w:t>《网站信息系统资产列表清单》</w:t>
            </w:r>
          </w:p>
          <w:p w14:paraId="2245C8F3">
            <w:pPr>
              <w:pStyle w:val="20"/>
              <w:jc w:val="both"/>
            </w:pPr>
            <w:r>
              <w:rPr>
                <w:rFonts w:hint="eastAsia"/>
              </w:rPr>
              <w:t>《服务器信息系统资产列表清单》</w:t>
            </w:r>
          </w:p>
          <w:p w14:paraId="6A3AD543">
            <w:pPr>
              <w:pStyle w:val="20"/>
              <w:jc w:val="both"/>
            </w:pPr>
            <w:r>
              <w:rPr>
                <w:rFonts w:hint="eastAsia"/>
              </w:rPr>
              <w:t>《终端信息系统资产列表清单》</w:t>
            </w:r>
          </w:p>
        </w:tc>
      </w:tr>
    </w:tbl>
    <w:p w14:paraId="4150DB47">
      <w:pPr>
        <w:pStyle w:val="4"/>
      </w:pPr>
      <w:bookmarkStart w:id="20" w:name="_Toc24711"/>
      <w:bookmarkStart w:id="21" w:name="_Toc130999455"/>
      <w:bookmarkStart w:id="22" w:name="_Toc2822"/>
      <w:bookmarkStart w:id="23" w:name="_Toc111713257"/>
      <w:bookmarkStart w:id="24" w:name="_Toc19817"/>
      <w:r>
        <w:rPr>
          <w:rFonts w:hint="eastAsia"/>
        </w:rPr>
        <w:t>2.3主机脆弱性监测服务</w:t>
      </w:r>
      <w:bookmarkEnd w:id="20"/>
      <w:bookmarkEnd w:id="21"/>
      <w:bookmarkEnd w:id="22"/>
      <w:bookmarkEnd w:id="23"/>
      <w:bookmarkEnd w:id="24"/>
    </w:p>
    <w:p w14:paraId="55F91446">
      <w:pPr>
        <w:ind w:firstLine="560"/>
      </w:pPr>
      <w:r>
        <w:rPr>
          <w:rFonts w:hint="eastAsia"/>
        </w:rPr>
        <w:t>对主机、网络设备、操作系统、数据库、中间件等进行常态化安全漏洞与弱口令扫描，提供漏洞、弱口令台账与报告，结合资产梳理，可快速定位高危组件影响范围。</w:t>
      </w:r>
    </w:p>
    <w:p w14:paraId="4F8BA755">
      <w:pPr>
        <w:ind w:firstLine="560"/>
      </w:pPr>
      <w:r>
        <w:rPr>
          <w:rFonts w:hint="eastAsia"/>
        </w:rPr>
        <w:t>每次安全漏洞扫描完成后，提交完整的漏洞扫描分析报告，详细说明存在的安全风险，而且对系统以后整改的方向提供适当的解决方案；扫描报告包括综述、主机、漏洞、趋势等信息进行分类，综述中应对漏洞和风险分布进行定量统计分析并展示，主机中应提供漏洞分布、可入侵情况、风险值和风险等级信息。</w:t>
      </w:r>
    </w:p>
    <w:p w14:paraId="3B9F42EB">
      <w:pPr>
        <w:ind w:firstLine="560"/>
      </w:pPr>
      <w:r>
        <w:rPr>
          <w:rFonts w:hint="eastAsia"/>
        </w:rPr>
        <w:t>对服务范围内主机中包含redis、smb、rdp、telnet、ftp、ssh、pop3、smtp、mysql、imap、vnc、snmp、vmauthd、postgres、mssql、oracle、mongodb、onvif等多种服务协议进行弱口令检测，并提供弱口令处置方案。</w:t>
      </w:r>
    </w:p>
    <w:tbl>
      <w:tblPr>
        <w:tblStyle w:val="9"/>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1307"/>
        <w:gridCol w:w="1305"/>
        <w:gridCol w:w="3303"/>
        <w:gridCol w:w="2729"/>
      </w:tblGrid>
      <w:tr w14:paraId="59ACD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shd w:val="clear" w:color="auto" w:fill="EEECE1"/>
            <w:vAlign w:val="center"/>
          </w:tcPr>
          <w:p w14:paraId="67D6FF72">
            <w:pPr>
              <w:pStyle w:val="20"/>
              <w:jc w:val="both"/>
            </w:pPr>
            <w:r>
              <w:rPr>
                <w:rFonts w:hint="eastAsia"/>
              </w:rPr>
              <w:t>服务方式</w:t>
            </w:r>
          </w:p>
        </w:tc>
        <w:tc>
          <w:tcPr>
            <w:tcW w:w="657" w:type="pct"/>
            <w:shd w:val="clear" w:color="auto" w:fill="EEECE1"/>
            <w:vAlign w:val="center"/>
          </w:tcPr>
          <w:p w14:paraId="3E129C98">
            <w:pPr>
              <w:pStyle w:val="20"/>
              <w:jc w:val="both"/>
            </w:pPr>
            <w:r>
              <w:rPr>
                <w:rFonts w:hint="eastAsia"/>
              </w:rPr>
              <w:t>服务范围</w:t>
            </w:r>
          </w:p>
        </w:tc>
        <w:tc>
          <w:tcPr>
            <w:tcW w:w="656" w:type="pct"/>
            <w:shd w:val="clear" w:color="auto" w:fill="EEECE1"/>
            <w:vAlign w:val="center"/>
          </w:tcPr>
          <w:p w14:paraId="6B0E4770">
            <w:pPr>
              <w:pStyle w:val="20"/>
              <w:jc w:val="both"/>
            </w:pPr>
            <w:r>
              <w:rPr>
                <w:rFonts w:hint="eastAsia"/>
              </w:rPr>
              <w:t>服务频率</w:t>
            </w:r>
          </w:p>
        </w:tc>
        <w:tc>
          <w:tcPr>
            <w:tcW w:w="1661" w:type="pct"/>
            <w:shd w:val="clear" w:color="auto" w:fill="EEECE1"/>
            <w:vAlign w:val="center"/>
          </w:tcPr>
          <w:p w14:paraId="1DD773D3">
            <w:pPr>
              <w:pStyle w:val="20"/>
              <w:jc w:val="both"/>
            </w:pPr>
            <w:r>
              <w:rPr>
                <w:rFonts w:hint="eastAsia"/>
              </w:rPr>
              <w:t>配备服务工具</w:t>
            </w:r>
          </w:p>
        </w:tc>
        <w:tc>
          <w:tcPr>
            <w:tcW w:w="1372" w:type="pct"/>
            <w:shd w:val="clear" w:color="auto" w:fill="EEECE1"/>
            <w:vAlign w:val="center"/>
          </w:tcPr>
          <w:p w14:paraId="6D831AED">
            <w:pPr>
              <w:pStyle w:val="20"/>
              <w:jc w:val="both"/>
            </w:pPr>
            <w:r>
              <w:rPr>
                <w:rFonts w:hint="eastAsia"/>
              </w:rPr>
              <w:t>输出报告</w:t>
            </w:r>
          </w:p>
        </w:tc>
      </w:tr>
      <w:tr w14:paraId="6855C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vAlign w:val="center"/>
          </w:tcPr>
          <w:p w14:paraId="5689924F">
            <w:pPr>
              <w:pStyle w:val="20"/>
              <w:jc w:val="both"/>
            </w:pPr>
            <w:r>
              <w:rPr>
                <w:rFonts w:hint="eastAsia"/>
              </w:rPr>
              <w:t>现场服务</w:t>
            </w:r>
          </w:p>
        </w:tc>
        <w:tc>
          <w:tcPr>
            <w:tcW w:w="657" w:type="pct"/>
            <w:vAlign w:val="center"/>
          </w:tcPr>
          <w:p w14:paraId="76BEC5D9">
            <w:pPr>
              <w:pStyle w:val="20"/>
              <w:jc w:val="both"/>
            </w:pPr>
            <w:r>
              <w:rPr>
                <w:rFonts w:hint="eastAsia"/>
              </w:rPr>
              <w:t>服务器、终端资产</w:t>
            </w:r>
          </w:p>
        </w:tc>
        <w:tc>
          <w:tcPr>
            <w:tcW w:w="656" w:type="pct"/>
            <w:vAlign w:val="center"/>
          </w:tcPr>
          <w:p w14:paraId="0FB91E48">
            <w:pPr>
              <w:pStyle w:val="20"/>
              <w:jc w:val="both"/>
            </w:pPr>
            <w:r>
              <w:rPr>
                <w:rFonts w:hint="eastAsia"/>
              </w:rPr>
              <w:t>按需、常态化监测管理</w:t>
            </w:r>
          </w:p>
        </w:tc>
        <w:tc>
          <w:tcPr>
            <w:tcW w:w="1661" w:type="pct"/>
            <w:vAlign w:val="center"/>
          </w:tcPr>
          <w:p w14:paraId="4BCB5ACA">
            <w:pPr>
              <w:pStyle w:val="20"/>
              <w:jc w:val="both"/>
            </w:pPr>
            <w:r>
              <w:rPr>
                <w:rFonts w:hint="eastAsia"/>
              </w:rPr>
              <w:t>配备平台工具本地化部署，支持数据安全量化分析，可在统一平台进行漏洞及弱口令安全概况展示和查阅</w:t>
            </w:r>
          </w:p>
        </w:tc>
        <w:tc>
          <w:tcPr>
            <w:tcW w:w="1372" w:type="pct"/>
            <w:vAlign w:val="center"/>
          </w:tcPr>
          <w:p w14:paraId="5366DEC8">
            <w:pPr>
              <w:pStyle w:val="20"/>
              <w:jc w:val="both"/>
            </w:pPr>
            <w:r>
              <w:rPr>
                <w:rFonts w:hint="eastAsia"/>
              </w:rPr>
              <w:t>每季度输出一次</w:t>
            </w:r>
          </w:p>
          <w:p w14:paraId="2C7D91F9">
            <w:pPr>
              <w:pStyle w:val="20"/>
              <w:jc w:val="both"/>
            </w:pPr>
            <w:r>
              <w:rPr>
                <w:rFonts w:hint="eastAsia"/>
              </w:rPr>
              <w:t>《</w:t>
            </w:r>
            <w:r>
              <w:rPr>
                <w:rFonts w:hint="eastAsia"/>
                <w:lang w:eastAsia="zh-CN"/>
              </w:rPr>
              <w:t>梓潼县妇幼保健院</w:t>
            </w:r>
            <w:r>
              <w:rPr>
                <w:rFonts w:hint="eastAsia"/>
              </w:rPr>
              <w:t>主机漏洞监测报告及加固建议》、《</w:t>
            </w:r>
            <w:r>
              <w:rPr>
                <w:rFonts w:hint="eastAsia"/>
                <w:lang w:eastAsia="zh-CN"/>
              </w:rPr>
              <w:t>梓潼县妇幼保健院</w:t>
            </w:r>
            <w:r>
              <w:rPr>
                <w:rFonts w:hint="eastAsia"/>
              </w:rPr>
              <w:t>主机弱口令监测报告及加固建议》</w:t>
            </w:r>
          </w:p>
        </w:tc>
      </w:tr>
    </w:tbl>
    <w:p w14:paraId="3D938E6A">
      <w:pPr>
        <w:pStyle w:val="4"/>
      </w:pPr>
      <w:bookmarkStart w:id="25" w:name="_Toc25693"/>
      <w:bookmarkStart w:id="26" w:name="_Toc4236"/>
      <w:bookmarkStart w:id="27" w:name="_Toc17014"/>
      <w:bookmarkStart w:id="28" w:name="_Toc111713260"/>
      <w:bookmarkStart w:id="29" w:name="_Toc130999458"/>
      <w:r>
        <w:rPr>
          <w:rFonts w:hint="eastAsia"/>
        </w:rPr>
        <w:t>2.4配置核查服务</w:t>
      </w:r>
      <w:bookmarkEnd w:id="25"/>
      <w:bookmarkEnd w:id="26"/>
      <w:bookmarkEnd w:id="27"/>
      <w:bookmarkEnd w:id="28"/>
      <w:bookmarkEnd w:id="29"/>
    </w:p>
    <w:p w14:paraId="60CB5305">
      <w:pPr>
        <w:ind w:firstLine="560"/>
      </w:pPr>
      <w:r>
        <w:rPr>
          <w:rFonts w:hint="eastAsia"/>
        </w:rPr>
        <w:t>安全基线是一个信息系统的最小安全保证，即该信息系统需要满足的最基本安全要求。安全基线是实现信息安全风险评估和风险管理的前提和基础，为了满足各业务系统的基本安全需求，就需要充分参考国家及行业标准、规范以及成熟经验，建立并形成一个针对各业务系统的基线安全模型。</w:t>
      </w:r>
    </w:p>
    <w:p w14:paraId="733CD0D6">
      <w:pPr>
        <w:ind w:firstLine="560"/>
      </w:pPr>
      <w:r>
        <w:rPr>
          <w:rFonts w:hint="eastAsia"/>
        </w:rPr>
        <w:t>服务单位使用基线核查工具或人工检查，对业主单位管辖范围内网络设备、主机、操作系统、数据库、中间件、应用软件、新上线业务系统进行增量基线配置核查及是否满足最小化服务原则进行配置，并提供相对应报告。</w:t>
      </w:r>
    </w:p>
    <w:tbl>
      <w:tblPr>
        <w:tblStyle w:val="9"/>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1306"/>
        <w:gridCol w:w="1306"/>
        <w:gridCol w:w="2608"/>
        <w:gridCol w:w="3420"/>
      </w:tblGrid>
      <w:tr w14:paraId="2AA83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shd w:val="clear" w:color="auto" w:fill="EEECE1"/>
            <w:vAlign w:val="center"/>
          </w:tcPr>
          <w:p w14:paraId="7F24A2C4">
            <w:pPr>
              <w:pStyle w:val="20"/>
              <w:jc w:val="both"/>
            </w:pPr>
            <w:r>
              <w:rPr>
                <w:rFonts w:hint="eastAsia"/>
              </w:rPr>
              <w:t>服务方式</w:t>
            </w:r>
          </w:p>
        </w:tc>
        <w:tc>
          <w:tcPr>
            <w:tcW w:w="657" w:type="pct"/>
            <w:shd w:val="clear" w:color="auto" w:fill="EEECE1"/>
            <w:vAlign w:val="center"/>
          </w:tcPr>
          <w:p w14:paraId="3B853150">
            <w:pPr>
              <w:pStyle w:val="20"/>
              <w:jc w:val="both"/>
            </w:pPr>
            <w:r>
              <w:rPr>
                <w:rFonts w:hint="eastAsia"/>
              </w:rPr>
              <w:t>服务范围</w:t>
            </w:r>
          </w:p>
        </w:tc>
        <w:tc>
          <w:tcPr>
            <w:tcW w:w="657" w:type="pct"/>
            <w:shd w:val="clear" w:color="auto" w:fill="EEECE1"/>
            <w:vAlign w:val="center"/>
          </w:tcPr>
          <w:p w14:paraId="7FC1AA7E">
            <w:pPr>
              <w:pStyle w:val="20"/>
              <w:jc w:val="both"/>
            </w:pPr>
            <w:r>
              <w:rPr>
                <w:rFonts w:hint="eastAsia"/>
              </w:rPr>
              <w:t>服务频率</w:t>
            </w:r>
          </w:p>
        </w:tc>
        <w:tc>
          <w:tcPr>
            <w:tcW w:w="1312" w:type="pct"/>
            <w:shd w:val="clear" w:color="auto" w:fill="EEECE1"/>
            <w:vAlign w:val="center"/>
          </w:tcPr>
          <w:p w14:paraId="43B69B36">
            <w:pPr>
              <w:pStyle w:val="20"/>
              <w:jc w:val="both"/>
            </w:pPr>
            <w:r>
              <w:rPr>
                <w:rFonts w:hint="eastAsia"/>
              </w:rPr>
              <w:t>配备安全设备</w:t>
            </w:r>
          </w:p>
        </w:tc>
        <w:tc>
          <w:tcPr>
            <w:tcW w:w="1720" w:type="pct"/>
            <w:shd w:val="clear" w:color="auto" w:fill="EEECE1"/>
            <w:vAlign w:val="center"/>
          </w:tcPr>
          <w:p w14:paraId="4F6D2EC6">
            <w:pPr>
              <w:pStyle w:val="20"/>
              <w:jc w:val="both"/>
            </w:pPr>
            <w:r>
              <w:rPr>
                <w:rFonts w:hint="eastAsia"/>
              </w:rPr>
              <w:t>服务成果</w:t>
            </w:r>
          </w:p>
        </w:tc>
      </w:tr>
      <w:tr w14:paraId="2E2C2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vAlign w:val="center"/>
          </w:tcPr>
          <w:p w14:paraId="1293EB8B">
            <w:pPr>
              <w:pStyle w:val="20"/>
              <w:jc w:val="both"/>
            </w:pPr>
            <w:r>
              <w:rPr>
                <w:rFonts w:hint="eastAsia"/>
              </w:rPr>
              <w:t>现场服务</w:t>
            </w:r>
          </w:p>
        </w:tc>
        <w:tc>
          <w:tcPr>
            <w:tcW w:w="657" w:type="pct"/>
            <w:vAlign w:val="center"/>
          </w:tcPr>
          <w:p w14:paraId="4FBFF608">
            <w:pPr>
              <w:pStyle w:val="20"/>
              <w:jc w:val="both"/>
            </w:pPr>
            <w:r>
              <w:rPr>
                <w:rFonts w:hint="eastAsia"/>
              </w:rPr>
              <w:t>服务器、终端资产</w:t>
            </w:r>
          </w:p>
        </w:tc>
        <w:tc>
          <w:tcPr>
            <w:tcW w:w="657" w:type="pct"/>
            <w:vAlign w:val="center"/>
          </w:tcPr>
          <w:p w14:paraId="124E7623">
            <w:pPr>
              <w:pStyle w:val="20"/>
              <w:jc w:val="both"/>
            </w:pPr>
            <w:r>
              <w:rPr>
                <w:rFonts w:hint="eastAsia"/>
              </w:rPr>
              <w:t>1年1次</w:t>
            </w:r>
          </w:p>
        </w:tc>
        <w:tc>
          <w:tcPr>
            <w:tcW w:w="1312" w:type="pct"/>
            <w:vAlign w:val="center"/>
          </w:tcPr>
          <w:p w14:paraId="6716DF66">
            <w:pPr>
              <w:pStyle w:val="20"/>
              <w:jc w:val="both"/>
            </w:pPr>
            <w:r>
              <w:rPr>
                <w:rFonts w:hint="eastAsia"/>
              </w:rPr>
              <w:t>配备平台工具本地化部署，并统一进行配置核查概况展示和查阅</w:t>
            </w:r>
          </w:p>
        </w:tc>
        <w:tc>
          <w:tcPr>
            <w:tcW w:w="1720" w:type="pct"/>
            <w:vAlign w:val="center"/>
          </w:tcPr>
          <w:p w14:paraId="73853F37">
            <w:pPr>
              <w:pStyle w:val="20"/>
              <w:jc w:val="both"/>
            </w:pPr>
            <w:r>
              <w:rPr>
                <w:rFonts w:hint="eastAsia"/>
              </w:rPr>
              <w:t>《信息系统配置核查报告》</w:t>
            </w:r>
          </w:p>
          <w:p w14:paraId="59D72826">
            <w:pPr>
              <w:pStyle w:val="20"/>
              <w:jc w:val="both"/>
            </w:pPr>
            <w:r>
              <w:rPr>
                <w:rFonts w:hint="eastAsia"/>
              </w:rPr>
              <w:t>《新上线业务系统配置核查报告》</w:t>
            </w:r>
          </w:p>
        </w:tc>
      </w:tr>
    </w:tbl>
    <w:p w14:paraId="6FE2C59B">
      <w:pPr>
        <w:pStyle w:val="4"/>
      </w:pPr>
      <w:bookmarkStart w:id="30" w:name="_Toc15848"/>
      <w:bookmarkStart w:id="31" w:name="_Toc853"/>
      <w:bookmarkStart w:id="32" w:name="_Toc130999459"/>
      <w:bookmarkStart w:id="33" w:name="_Toc111713261"/>
      <w:bookmarkStart w:id="34" w:name="_Toc14700"/>
      <w:r>
        <w:rPr>
          <w:rFonts w:hint="eastAsia"/>
        </w:rPr>
        <w:t>2.5漏洞屏蔽服务</w:t>
      </w:r>
      <w:bookmarkEnd w:id="30"/>
      <w:bookmarkEnd w:id="31"/>
    </w:p>
    <w:p w14:paraId="69C3BC60">
      <w:pPr>
        <w:ind w:firstLine="560"/>
      </w:pPr>
      <w:r>
        <w:rPr>
          <w:rFonts w:hint="eastAsia"/>
        </w:rPr>
        <w:t>通过技术手段帮助客户屏蔽各类漏洞，使漏洞扫描器、恶意攻击源无法扫描到主机或web应用系统存在的漏洞，包括可利用漏洞、版本漏洞、web代码层面的漏洞。</w:t>
      </w:r>
    </w:p>
    <w:tbl>
      <w:tblPr>
        <w:tblStyle w:val="9"/>
        <w:tblW w:w="49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1305"/>
        <w:gridCol w:w="1307"/>
        <w:gridCol w:w="2320"/>
        <w:gridCol w:w="3699"/>
      </w:tblGrid>
      <w:tr w14:paraId="5E61F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pct"/>
            <w:shd w:val="clear" w:color="auto" w:fill="EEECE1"/>
            <w:vAlign w:val="center"/>
          </w:tcPr>
          <w:p w14:paraId="151E8C77">
            <w:pPr>
              <w:pStyle w:val="20"/>
              <w:jc w:val="both"/>
            </w:pPr>
            <w:r>
              <w:rPr>
                <w:rFonts w:hint="eastAsia"/>
              </w:rPr>
              <w:t>服务方式</w:t>
            </w:r>
          </w:p>
        </w:tc>
        <w:tc>
          <w:tcPr>
            <w:tcW w:w="657" w:type="pct"/>
            <w:shd w:val="clear" w:color="auto" w:fill="EEECE1"/>
            <w:vAlign w:val="center"/>
          </w:tcPr>
          <w:p w14:paraId="4FFF5FAF">
            <w:pPr>
              <w:pStyle w:val="20"/>
              <w:jc w:val="both"/>
            </w:pPr>
            <w:r>
              <w:rPr>
                <w:rFonts w:hint="eastAsia"/>
              </w:rPr>
              <w:t>服务范围</w:t>
            </w:r>
          </w:p>
        </w:tc>
        <w:tc>
          <w:tcPr>
            <w:tcW w:w="658" w:type="pct"/>
            <w:shd w:val="clear" w:color="auto" w:fill="EEECE1"/>
            <w:vAlign w:val="center"/>
          </w:tcPr>
          <w:p w14:paraId="1306AE18">
            <w:pPr>
              <w:pStyle w:val="20"/>
              <w:jc w:val="both"/>
            </w:pPr>
            <w:r>
              <w:rPr>
                <w:rFonts w:hint="eastAsia"/>
              </w:rPr>
              <w:t>服务频率</w:t>
            </w:r>
          </w:p>
        </w:tc>
        <w:tc>
          <w:tcPr>
            <w:tcW w:w="1168" w:type="pct"/>
            <w:shd w:val="clear" w:color="auto" w:fill="EEECE1"/>
            <w:vAlign w:val="center"/>
          </w:tcPr>
          <w:p w14:paraId="02518951">
            <w:pPr>
              <w:pStyle w:val="20"/>
              <w:jc w:val="both"/>
            </w:pPr>
            <w:r>
              <w:rPr>
                <w:rFonts w:hint="eastAsia"/>
              </w:rPr>
              <w:t>配备安全设备</w:t>
            </w:r>
          </w:p>
        </w:tc>
        <w:tc>
          <w:tcPr>
            <w:tcW w:w="1863" w:type="pct"/>
            <w:shd w:val="clear" w:color="auto" w:fill="EEECE1"/>
            <w:vAlign w:val="center"/>
          </w:tcPr>
          <w:p w14:paraId="0D0D9D8E">
            <w:pPr>
              <w:pStyle w:val="20"/>
              <w:jc w:val="both"/>
            </w:pPr>
            <w:r>
              <w:rPr>
                <w:rFonts w:hint="eastAsia"/>
              </w:rPr>
              <w:t>服务成果</w:t>
            </w:r>
          </w:p>
        </w:tc>
      </w:tr>
      <w:tr w14:paraId="0F689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pct"/>
            <w:vAlign w:val="center"/>
          </w:tcPr>
          <w:p w14:paraId="7003B0D5">
            <w:pPr>
              <w:pStyle w:val="20"/>
              <w:jc w:val="both"/>
            </w:pPr>
            <w:r>
              <w:rPr>
                <w:rFonts w:hint="eastAsia"/>
              </w:rPr>
              <w:t>现场服务</w:t>
            </w:r>
          </w:p>
        </w:tc>
        <w:tc>
          <w:tcPr>
            <w:tcW w:w="657" w:type="pct"/>
            <w:vAlign w:val="center"/>
          </w:tcPr>
          <w:p w14:paraId="58A3BFDB">
            <w:pPr>
              <w:pStyle w:val="20"/>
              <w:jc w:val="both"/>
            </w:pPr>
            <w:r>
              <w:rPr>
                <w:rFonts w:hint="eastAsia"/>
              </w:rPr>
              <w:t>服务器</w:t>
            </w:r>
          </w:p>
        </w:tc>
        <w:tc>
          <w:tcPr>
            <w:tcW w:w="658" w:type="pct"/>
            <w:vAlign w:val="center"/>
          </w:tcPr>
          <w:p w14:paraId="1D0424BB">
            <w:pPr>
              <w:pStyle w:val="20"/>
              <w:jc w:val="both"/>
            </w:pPr>
            <w:r>
              <w:rPr>
                <w:rFonts w:hint="eastAsia"/>
              </w:rPr>
              <w:t>常态化</w:t>
            </w:r>
          </w:p>
        </w:tc>
        <w:tc>
          <w:tcPr>
            <w:tcW w:w="1168" w:type="pct"/>
            <w:vAlign w:val="center"/>
          </w:tcPr>
          <w:p w14:paraId="4301CA30">
            <w:pPr>
              <w:pStyle w:val="20"/>
              <w:jc w:val="both"/>
            </w:pPr>
            <w:r>
              <w:rPr>
                <w:rFonts w:hint="eastAsia"/>
              </w:rPr>
              <w:t>配备相关安全工具</w:t>
            </w:r>
          </w:p>
        </w:tc>
        <w:tc>
          <w:tcPr>
            <w:tcW w:w="1863" w:type="pct"/>
            <w:vAlign w:val="center"/>
          </w:tcPr>
          <w:p w14:paraId="36B66C61">
            <w:pPr>
              <w:pStyle w:val="20"/>
              <w:jc w:val="both"/>
            </w:pPr>
            <w:r>
              <w:rPr>
                <w:rFonts w:hint="eastAsia"/>
              </w:rPr>
              <w:t>无法通过未被授权的扫描工具扫描出相关漏洞</w:t>
            </w:r>
          </w:p>
        </w:tc>
      </w:tr>
    </w:tbl>
    <w:p w14:paraId="3969CDEF">
      <w:pPr>
        <w:pStyle w:val="4"/>
      </w:pPr>
      <w:bookmarkStart w:id="35" w:name="_Toc18528"/>
      <w:bookmarkStart w:id="36" w:name="_Toc20668"/>
      <w:r>
        <w:rPr>
          <w:rFonts w:hint="eastAsia"/>
        </w:rPr>
        <w:t>2.6流量入侵检测服务</w:t>
      </w:r>
      <w:bookmarkEnd w:id="35"/>
      <w:bookmarkEnd w:id="36"/>
    </w:p>
    <w:p w14:paraId="2B0E138E">
      <w:pPr>
        <w:ind w:firstLine="560"/>
      </w:pPr>
      <w:r>
        <w:rPr>
          <w:rFonts w:hint="eastAsia"/>
        </w:rPr>
        <w:t>旁路部署流量检测探针，监测重点区域边界流量，基于威胁感知模型精准识别恶意攻击源IP，可通过旁路阻断技术拦截恶意源IP的访问。</w:t>
      </w:r>
    </w:p>
    <w:p w14:paraId="5610FE3C">
      <w:pPr>
        <w:ind w:firstLine="560"/>
        <w:rPr>
          <w:b/>
          <w:bCs/>
        </w:rPr>
      </w:pPr>
      <w:r>
        <w:rPr>
          <w:rFonts w:hint="eastAsia"/>
          <w:bCs/>
        </w:rPr>
        <w:t>旁路部署流量检测探针：在重点区域边界路由器或交换机上旁路部署流量检测探针，实时监测进出该区域的网络流量，确保对所有流量数据的全面覆盖。</w:t>
      </w:r>
    </w:p>
    <w:p w14:paraId="64F620DB">
      <w:pPr>
        <w:ind w:firstLine="560"/>
        <w:rPr>
          <w:b/>
          <w:bCs/>
        </w:rPr>
      </w:pPr>
      <w:r>
        <w:rPr>
          <w:rFonts w:hint="eastAsia"/>
          <w:bCs/>
        </w:rPr>
        <w:t>流量特征分析：利用流量检测算法，对监测到的流量数据进行深度分析，提取出包括源IP、目的IP、协议、流量大小等在内的流量特征信息。</w:t>
      </w:r>
    </w:p>
    <w:p w14:paraId="51576253">
      <w:pPr>
        <w:ind w:firstLine="560"/>
        <w:rPr>
          <w:b/>
          <w:bCs/>
        </w:rPr>
      </w:pPr>
      <w:r>
        <w:rPr>
          <w:rFonts w:hint="eastAsia"/>
          <w:bCs/>
        </w:rPr>
        <w:t>威胁感知模型：基于威胁感知模型，综合运用机器学习和深度学习等先进技术，对流量特征信息进行智能分析，精准识别出恶意攻击源IP。</w:t>
      </w:r>
    </w:p>
    <w:p w14:paraId="2063F228">
      <w:pPr>
        <w:ind w:firstLine="560"/>
        <w:rPr>
          <w:b/>
          <w:bCs/>
        </w:rPr>
      </w:pPr>
      <w:r>
        <w:rPr>
          <w:rFonts w:hint="eastAsia"/>
          <w:bCs/>
        </w:rPr>
        <w:t>旁路阻断技术：在发现恶意攻击源IP后，通过旁路阻断技术，自动拦截该源IP的访问请求，阻止其进一步对企业网络进行攻击和入侵。</w:t>
      </w:r>
    </w:p>
    <w:p w14:paraId="354DA081">
      <w:pPr>
        <w:ind w:firstLine="560"/>
        <w:rPr>
          <w:b/>
          <w:bCs/>
        </w:rPr>
      </w:pPr>
      <w:r>
        <w:rPr>
          <w:rFonts w:hint="eastAsia"/>
          <w:bCs/>
        </w:rPr>
        <w:t>实时告警与日志记录：在检测到恶意攻击源IP时，实时发送告警信息，并生成详细的日志记录，以便后续的调查和追踪。</w:t>
      </w:r>
    </w:p>
    <w:tbl>
      <w:tblPr>
        <w:tblStyle w:val="9"/>
        <w:tblW w:w="49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1595"/>
        <w:gridCol w:w="1886"/>
        <w:gridCol w:w="2900"/>
        <w:gridCol w:w="2091"/>
      </w:tblGrid>
      <w:tr w14:paraId="705C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shd w:val="clear" w:color="auto" w:fill="EEECE1"/>
            <w:vAlign w:val="center"/>
          </w:tcPr>
          <w:p w14:paraId="7E1342A3">
            <w:pPr>
              <w:pStyle w:val="20"/>
              <w:jc w:val="both"/>
            </w:pPr>
            <w:r>
              <w:rPr>
                <w:rFonts w:hint="eastAsia"/>
              </w:rPr>
              <w:t>服务方式</w:t>
            </w:r>
          </w:p>
        </w:tc>
        <w:tc>
          <w:tcPr>
            <w:tcW w:w="804" w:type="pct"/>
            <w:shd w:val="clear" w:color="auto" w:fill="EEECE1"/>
            <w:vAlign w:val="center"/>
          </w:tcPr>
          <w:p w14:paraId="43F055E2">
            <w:pPr>
              <w:pStyle w:val="20"/>
              <w:jc w:val="both"/>
            </w:pPr>
            <w:r>
              <w:rPr>
                <w:rFonts w:hint="eastAsia"/>
              </w:rPr>
              <w:t>服务范围</w:t>
            </w:r>
          </w:p>
        </w:tc>
        <w:tc>
          <w:tcPr>
            <w:tcW w:w="951" w:type="pct"/>
            <w:shd w:val="clear" w:color="auto" w:fill="EEECE1"/>
            <w:vAlign w:val="center"/>
          </w:tcPr>
          <w:p w14:paraId="761BA3E1">
            <w:pPr>
              <w:pStyle w:val="20"/>
              <w:jc w:val="both"/>
            </w:pPr>
            <w:r>
              <w:rPr>
                <w:rFonts w:hint="eastAsia"/>
              </w:rPr>
              <w:t>服务频率</w:t>
            </w:r>
          </w:p>
        </w:tc>
        <w:tc>
          <w:tcPr>
            <w:tcW w:w="1462" w:type="pct"/>
            <w:shd w:val="clear" w:color="auto" w:fill="EEECE1"/>
            <w:vAlign w:val="center"/>
          </w:tcPr>
          <w:p w14:paraId="1D6AD458">
            <w:pPr>
              <w:pStyle w:val="20"/>
              <w:jc w:val="both"/>
            </w:pPr>
            <w:r>
              <w:rPr>
                <w:rFonts w:hint="eastAsia"/>
              </w:rPr>
              <w:t>配备安全设备</w:t>
            </w:r>
          </w:p>
        </w:tc>
        <w:tc>
          <w:tcPr>
            <w:tcW w:w="1054" w:type="pct"/>
            <w:shd w:val="clear" w:color="auto" w:fill="EEECE1"/>
            <w:vAlign w:val="center"/>
          </w:tcPr>
          <w:p w14:paraId="2660F323">
            <w:pPr>
              <w:pStyle w:val="20"/>
              <w:jc w:val="both"/>
            </w:pPr>
            <w:r>
              <w:rPr>
                <w:rFonts w:hint="eastAsia"/>
              </w:rPr>
              <w:t>服务成果</w:t>
            </w:r>
          </w:p>
        </w:tc>
      </w:tr>
      <w:tr w14:paraId="267D8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14:paraId="1DBFF654">
            <w:pPr>
              <w:pStyle w:val="20"/>
              <w:jc w:val="both"/>
            </w:pPr>
            <w:r>
              <w:rPr>
                <w:rFonts w:hint="eastAsia"/>
              </w:rPr>
              <w:t>现场服务</w:t>
            </w:r>
          </w:p>
        </w:tc>
        <w:tc>
          <w:tcPr>
            <w:tcW w:w="804" w:type="pct"/>
            <w:vAlign w:val="center"/>
          </w:tcPr>
          <w:p w14:paraId="6859B088">
            <w:pPr>
              <w:pStyle w:val="20"/>
              <w:jc w:val="both"/>
            </w:pPr>
            <w:r>
              <w:rPr>
                <w:rFonts w:hint="eastAsia"/>
              </w:rPr>
              <w:t>互联网边界</w:t>
            </w:r>
          </w:p>
        </w:tc>
        <w:tc>
          <w:tcPr>
            <w:tcW w:w="951" w:type="pct"/>
            <w:vAlign w:val="center"/>
          </w:tcPr>
          <w:p w14:paraId="53D63E34">
            <w:pPr>
              <w:pStyle w:val="20"/>
              <w:jc w:val="both"/>
            </w:pPr>
            <w:r>
              <w:rPr>
                <w:rFonts w:hint="eastAsia"/>
              </w:rPr>
              <w:t>7*24小时监测</w:t>
            </w:r>
          </w:p>
        </w:tc>
        <w:tc>
          <w:tcPr>
            <w:tcW w:w="1462" w:type="pct"/>
            <w:vAlign w:val="center"/>
          </w:tcPr>
          <w:p w14:paraId="5D1D20D6">
            <w:pPr>
              <w:pStyle w:val="20"/>
              <w:jc w:val="both"/>
            </w:pPr>
            <w:r>
              <w:rPr>
                <w:rFonts w:hint="eastAsia"/>
              </w:rPr>
              <w:t>配备平台工具本地化部署</w:t>
            </w:r>
          </w:p>
        </w:tc>
        <w:tc>
          <w:tcPr>
            <w:tcW w:w="1054" w:type="pct"/>
            <w:vAlign w:val="center"/>
          </w:tcPr>
          <w:p w14:paraId="4181AAAD">
            <w:pPr>
              <w:pStyle w:val="20"/>
              <w:jc w:val="both"/>
            </w:pPr>
            <w:r>
              <w:rPr>
                <w:rFonts w:hint="eastAsia"/>
              </w:rPr>
              <w:t>每季度输出《综合报表》</w:t>
            </w:r>
          </w:p>
        </w:tc>
      </w:tr>
      <w:bookmarkEnd w:id="32"/>
      <w:bookmarkEnd w:id="33"/>
      <w:bookmarkEnd w:id="34"/>
    </w:tbl>
    <w:p w14:paraId="39E8CE7D">
      <w:pPr>
        <w:pStyle w:val="4"/>
      </w:pPr>
      <w:bookmarkStart w:id="37" w:name="_Toc11589"/>
      <w:bookmarkStart w:id="38" w:name="_Toc2424"/>
      <w:bookmarkStart w:id="39" w:name="_Toc27416"/>
      <w:r>
        <w:rPr>
          <w:rFonts w:hint="eastAsia"/>
        </w:rPr>
        <w:t>2.7★全网攻击诱捕蜜罐</w:t>
      </w:r>
      <w:bookmarkEnd w:id="37"/>
      <w:r>
        <w:rPr>
          <w:rFonts w:hint="eastAsia"/>
        </w:rPr>
        <w:t>服务</w:t>
      </w:r>
      <w:bookmarkEnd w:id="38"/>
      <w:bookmarkEnd w:id="39"/>
    </w:p>
    <w:p w14:paraId="334661A9">
      <w:pPr>
        <w:ind w:firstLine="560"/>
      </w:pPr>
      <w:r>
        <w:rPr>
          <w:rFonts w:hint="eastAsia"/>
        </w:rPr>
        <w:t>本次服务项目旨在通过部署一体化安全服务平台，在不改变单位网络架构的前提下（包括：不做镜像流量、不做牵引流量等），通过旁路部署的方式，在“DMZ区”、“服务器区”、“终端区”分别生成仿真业务系统，与待监测的目标“IP、web”等资产网络可达，通过虚拟出来的蜜罐主机，在每个网段部署虚拟蜜罐，以监测内网病毒威胁和安全事件，并提前做安全预警。通过全网部署蜜罐，基于欺骗防御技术，诱骗攻击者、病毒主机攻击蜜罐陷阱，实时零误报定位攻击威胁，实时通过飞书、钉钉、企业微信等进行预警。</w:t>
      </w:r>
    </w:p>
    <w:p w14:paraId="0AAA4F8E">
      <w:pPr>
        <w:ind w:firstLine="560"/>
      </w:pPr>
      <w:r>
        <w:rPr>
          <w:rFonts w:hint="eastAsia"/>
        </w:rPr>
        <w:t>当发现失陷主机时，不需要联动第三方设备、不需要在主机上安装agent脚本，就能对失陷主机进行处置，防止失陷主机继续对东西向主机进行病毒传播、横向攻击等行为；</w:t>
      </w:r>
      <w:r>
        <w:rPr>
          <w:rFonts w:hint="eastAsia"/>
          <w:b/>
          <w:bCs/>
        </w:rPr>
        <w:t>（提供截图证明材料，加盖供应商鲜章）</w:t>
      </w:r>
    </w:p>
    <w:p w14:paraId="78B93A7B">
      <w:pPr>
        <w:ind w:firstLine="560"/>
      </w:pPr>
      <w:r>
        <w:rPr>
          <w:rFonts w:hint="eastAsia"/>
        </w:rPr>
        <w:t>通过自学习的模式对采购方真实业务系统进行遍历访问，形成机器记忆，与真实业务系统一样可进行前后端的数据交互，从而实现包括但不限于以下动态交互类型：“搜索查询、登陆验证、账号注册”等，高迷惑性地吸引攻击者攻击蜜罐，要求拟态仿真蜜罐系统为纯静态系统，无需额外提供蜜罐定制服务；</w:t>
      </w:r>
      <w:r>
        <w:rPr>
          <w:rFonts w:hint="eastAsia"/>
          <w:b/>
          <w:bCs/>
        </w:rPr>
        <w:t>（提供截图证明材料，加盖供应商鲜章）</w:t>
      </w:r>
    </w:p>
    <w:p w14:paraId="1C545812">
      <w:pPr>
        <w:ind w:firstLine="560"/>
      </w:pPr>
      <w:r>
        <w:rPr>
          <w:rFonts w:hint="eastAsia"/>
        </w:rPr>
        <w:t>可灵活指定对某个攻击源IP地址发起威慑反制，比如灌输国家网络安全法、告知已获得相关溯源信息，发挥互联网攻击监测诱饵威慑作用，使攻击者放弃后续的攻击行为；</w:t>
      </w:r>
      <w:r>
        <w:rPr>
          <w:rFonts w:hint="eastAsia"/>
          <w:b/>
          <w:bCs/>
        </w:rPr>
        <w:t>（提供截图证明材料，加盖供应商鲜章）</w:t>
      </w:r>
    </w:p>
    <w:p w14:paraId="4A8F9DA8">
      <w:pPr>
        <w:ind w:firstLine="560"/>
      </w:pPr>
      <w:r>
        <w:rPr>
          <w:rFonts w:hint="eastAsia"/>
        </w:rPr>
        <w:t>通过监测中心可统一展现蜜罐告警事件、边界威胁监测告警，事件及告警结果自动刷新。支持蜜罐、与拓展边界威胁告警的关联分析，提升告警可信度。支持根据攻击行为自动研判，对攻击IP进行自动分类并打上对应的攻击者标签；</w:t>
      </w:r>
      <w:r>
        <w:rPr>
          <w:rFonts w:hint="eastAsia"/>
          <w:b/>
          <w:bCs/>
        </w:rPr>
        <w:t>（提供截图证明材料，加盖供应商鲜章）</w:t>
      </w:r>
      <w:bookmarkStart w:id="64" w:name="_GoBack"/>
      <w:bookmarkEnd w:id="64"/>
    </w:p>
    <w:p w14:paraId="0969D79F">
      <w:pPr>
        <w:ind w:firstLine="560"/>
        <w:rPr>
          <w:b/>
          <w:bCs/>
        </w:rPr>
      </w:pPr>
      <w:r>
        <w:rPr>
          <w:rFonts w:hint="eastAsia"/>
        </w:rPr>
        <w:t>漏洞无效化：联动部署的蜜罐，自动精准检测恶意攻击源、扫描源，并可基于告警风险值、或者定向源进行处置，使漏洞扫描器、恶意攻击源无法扫描到主机存在的漏洞，包括可利用漏洞、版本漏洞；</w:t>
      </w:r>
      <w:r>
        <w:rPr>
          <w:rFonts w:hint="eastAsia"/>
          <w:b/>
          <w:bCs/>
        </w:rPr>
        <w:t>（提供截图证明材料，加盖供应商鲜章）</w:t>
      </w:r>
    </w:p>
    <w:tbl>
      <w:tblPr>
        <w:tblStyle w:val="9"/>
        <w:tblW w:w="49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1595"/>
        <w:gridCol w:w="2031"/>
        <w:gridCol w:w="3045"/>
        <w:gridCol w:w="1801"/>
      </w:tblGrid>
      <w:tr w14:paraId="12B76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shd w:val="clear" w:color="auto" w:fill="EEECE1"/>
            <w:vAlign w:val="center"/>
          </w:tcPr>
          <w:p w14:paraId="2E1D587A">
            <w:pPr>
              <w:pStyle w:val="20"/>
              <w:jc w:val="both"/>
            </w:pPr>
            <w:r>
              <w:rPr>
                <w:rFonts w:hint="eastAsia"/>
              </w:rPr>
              <w:t>服务方式</w:t>
            </w:r>
          </w:p>
        </w:tc>
        <w:tc>
          <w:tcPr>
            <w:tcW w:w="804" w:type="pct"/>
            <w:shd w:val="clear" w:color="auto" w:fill="EEECE1"/>
            <w:vAlign w:val="center"/>
          </w:tcPr>
          <w:p w14:paraId="36D8101F">
            <w:pPr>
              <w:pStyle w:val="20"/>
              <w:jc w:val="both"/>
            </w:pPr>
            <w:r>
              <w:rPr>
                <w:rFonts w:hint="eastAsia"/>
              </w:rPr>
              <w:t>服务范围</w:t>
            </w:r>
          </w:p>
        </w:tc>
        <w:tc>
          <w:tcPr>
            <w:tcW w:w="1024" w:type="pct"/>
            <w:shd w:val="clear" w:color="auto" w:fill="EEECE1"/>
            <w:vAlign w:val="center"/>
          </w:tcPr>
          <w:p w14:paraId="19EF39E6">
            <w:pPr>
              <w:pStyle w:val="20"/>
              <w:jc w:val="both"/>
            </w:pPr>
            <w:r>
              <w:rPr>
                <w:rFonts w:hint="eastAsia"/>
              </w:rPr>
              <w:t>服务频率</w:t>
            </w:r>
          </w:p>
        </w:tc>
        <w:tc>
          <w:tcPr>
            <w:tcW w:w="1535" w:type="pct"/>
            <w:shd w:val="clear" w:color="auto" w:fill="EEECE1"/>
            <w:vAlign w:val="center"/>
          </w:tcPr>
          <w:p w14:paraId="098CEEB8">
            <w:pPr>
              <w:pStyle w:val="20"/>
              <w:jc w:val="both"/>
            </w:pPr>
            <w:r>
              <w:rPr>
                <w:rFonts w:hint="eastAsia"/>
              </w:rPr>
              <w:t>配备安全设备</w:t>
            </w:r>
          </w:p>
        </w:tc>
        <w:tc>
          <w:tcPr>
            <w:tcW w:w="908" w:type="pct"/>
            <w:shd w:val="clear" w:color="auto" w:fill="EEECE1"/>
            <w:vAlign w:val="center"/>
          </w:tcPr>
          <w:p w14:paraId="7EAECB3A">
            <w:pPr>
              <w:pStyle w:val="20"/>
              <w:jc w:val="both"/>
            </w:pPr>
            <w:r>
              <w:rPr>
                <w:rFonts w:hint="eastAsia"/>
              </w:rPr>
              <w:t>服务成果</w:t>
            </w:r>
          </w:p>
        </w:tc>
      </w:tr>
      <w:tr w14:paraId="053F0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14:paraId="21F94393">
            <w:pPr>
              <w:pStyle w:val="20"/>
              <w:jc w:val="both"/>
            </w:pPr>
            <w:r>
              <w:rPr>
                <w:rFonts w:hint="eastAsia"/>
              </w:rPr>
              <w:t>现场服务</w:t>
            </w:r>
          </w:p>
        </w:tc>
        <w:tc>
          <w:tcPr>
            <w:tcW w:w="804" w:type="pct"/>
            <w:vAlign w:val="center"/>
          </w:tcPr>
          <w:p w14:paraId="72A2316C">
            <w:pPr>
              <w:pStyle w:val="20"/>
              <w:jc w:val="both"/>
            </w:pPr>
            <w:r>
              <w:rPr>
                <w:rFonts w:hint="eastAsia"/>
              </w:rPr>
              <w:t>全网段</w:t>
            </w:r>
          </w:p>
        </w:tc>
        <w:tc>
          <w:tcPr>
            <w:tcW w:w="1024" w:type="pct"/>
            <w:vAlign w:val="center"/>
          </w:tcPr>
          <w:p w14:paraId="534EDFF7">
            <w:pPr>
              <w:pStyle w:val="20"/>
              <w:jc w:val="both"/>
            </w:pPr>
            <w:r>
              <w:rPr>
                <w:rFonts w:hint="eastAsia"/>
              </w:rPr>
              <w:t>7*24小时监测</w:t>
            </w:r>
          </w:p>
        </w:tc>
        <w:tc>
          <w:tcPr>
            <w:tcW w:w="1535" w:type="pct"/>
            <w:vAlign w:val="center"/>
          </w:tcPr>
          <w:p w14:paraId="13F2D795">
            <w:pPr>
              <w:pStyle w:val="20"/>
              <w:jc w:val="both"/>
            </w:pPr>
            <w:r>
              <w:rPr>
                <w:rFonts w:hint="eastAsia"/>
              </w:rPr>
              <w:t>配备平台工具本地化部署</w:t>
            </w:r>
          </w:p>
        </w:tc>
        <w:tc>
          <w:tcPr>
            <w:tcW w:w="908" w:type="pct"/>
            <w:vAlign w:val="center"/>
          </w:tcPr>
          <w:p w14:paraId="6645223A">
            <w:pPr>
              <w:pStyle w:val="20"/>
              <w:jc w:val="both"/>
            </w:pPr>
            <w:r>
              <w:rPr>
                <w:rFonts w:hint="eastAsia"/>
              </w:rPr>
              <w:t>每季度输出《综合报表》</w:t>
            </w:r>
          </w:p>
        </w:tc>
      </w:tr>
    </w:tbl>
    <w:p w14:paraId="5DEE161E">
      <w:pPr>
        <w:pStyle w:val="4"/>
      </w:pPr>
      <w:bookmarkStart w:id="40" w:name="_Toc32249"/>
      <w:bookmarkStart w:id="41" w:name="_Toc26197"/>
      <w:bookmarkStart w:id="42" w:name="_Toc1483"/>
      <w:r>
        <w:rPr>
          <w:rFonts w:hint="eastAsia"/>
        </w:rPr>
        <w:t>2.8主机威胁监测</w:t>
      </w:r>
      <w:bookmarkEnd w:id="40"/>
      <w:bookmarkEnd w:id="41"/>
      <w:bookmarkEnd w:id="42"/>
    </w:p>
    <w:p w14:paraId="6FA4DA64">
      <w:pPr>
        <w:ind w:firstLine="56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rPr>
        <w:t>在重要系统服务器部署主机安全监测软件，可主动监测恶意文件（webshell、病毒木马）、挖矿进程与病毒检测、网站篡改检测等，发现可疑的入侵事件，并实时将告警同步到资产安全运维平台服务平台，第一时间对攻击行为进行告警。</w:t>
      </w:r>
      <w:bookmarkStart w:id="43" w:name="_Toc9168"/>
    </w:p>
    <w:tbl>
      <w:tblPr>
        <w:tblStyle w:val="9"/>
        <w:tblW w:w="49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1595"/>
        <w:gridCol w:w="1886"/>
        <w:gridCol w:w="3045"/>
        <w:gridCol w:w="1946"/>
      </w:tblGrid>
      <w:tr w14:paraId="3DCB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shd w:val="clear" w:color="auto" w:fill="EEECE1"/>
            <w:vAlign w:val="center"/>
          </w:tcPr>
          <w:p w14:paraId="225B192E">
            <w:pPr>
              <w:pStyle w:val="20"/>
              <w:jc w:val="both"/>
            </w:pPr>
            <w:r>
              <w:rPr>
                <w:rFonts w:hint="eastAsia"/>
              </w:rPr>
              <w:t>服务方式</w:t>
            </w:r>
          </w:p>
        </w:tc>
        <w:tc>
          <w:tcPr>
            <w:tcW w:w="804" w:type="pct"/>
            <w:shd w:val="clear" w:color="auto" w:fill="EEECE1"/>
            <w:vAlign w:val="center"/>
          </w:tcPr>
          <w:p w14:paraId="1BE1AE17">
            <w:pPr>
              <w:pStyle w:val="20"/>
              <w:jc w:val="both"/>
            </w:pPr>
            <w:r>
              <w:rPr>
                <w:rFonts w:hint="eastAsia"/>
              </w:rPr>
              <w:t>服务范围</w:t>
            </w:r>
          </w:p>
        </w:tc>
        <w:tc>
          <w:tcPr>
            <w:tcW w:w="951" w:type="pct"/>
            <w:shd w:val="clear" w:color="auto" w:fill="EEECE1"/>
            <w:vAlign w:val="center"/>
          </w:tcPr>
          <w:p w14:paraId="3BE05A8F">
            <w:pPr>
              <w:pStyle w:val="20"/>
              <w:jc w:val="both"/>
            </w:pPr>
            <w:r>
              <w:rPr>
                <w:rFonts w:hint="eastAsia"/>
              </w:rPr>
              <w:t>服务频率</w:t>
            </w:r>
          </w:p>
        </w:tc>
        <w:tc>
          <w:tcPr>
            <w:tcW w:w="1535" w:type="pct"/>
            <w:shd w:val="clear" w:color="auto" w:fill="EEECE1"/>
            <w:vAlign w:val="center"/>
          </w:tcPr>
          <w:p w14:paraId="28FEEE40">
            <w:pPr>
              <w:pStyle w:val="20"/>
              <w:jc w:val="both"/>
            </w:pPr>
            <w:r>
              <w:rPr>
                <w:rFonts w:hint="eastAsia"/>
              </w:rPr>
              <w:t>配备安全设备</w:t>
            </w:r>
          </w:p>
        </w:tc>
        <w:tc>
          <w:tcPr>
            <w:tcW w:w="981" w:type="pct"/>
            <w:shd w:val="clear" w:color="auto" w:fill="EEECE1"/>
            <w:vAlign w:val="center"/>
          </w:tcPr>
          <w:p w14:paraId="5706DFF8">
            <w:pPr>
              <w:pStyle w:val="20"/>
              <w:jc w:val="both"/>
            </w:pPr>
            <w:r>
              <w:rPr>
                <w:rFonts w:hint="eastAsia"/>
              </w:rPr>
              <w:t>服务成果</w:t>
            </w:r>
          </w:p>
        </w:tc>
      </w:tr>
      <w:tr w14:paraId="7E800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14:paraId="33E3AD52">
            <w:pPr>
              <w:pStyle w:val="20"/>
              <w:jc w:val="both"/>
            </w:pPr>
            <w:r>
              <w:rPr>
                <w:rFonts w:hint="eastAsia"/>
              </w:rPr>
              <w:t>现场服务</w:t>
            </w:r>
          </w:p>
        </w:tc>
        <w:tc>
          <w:tcPr>
            <w:tcW w:w="804" w:type="pct"/>
            <w:vAlign w:val="center"/>
          </w:tcPr>
          <w:p w14:paraId="407CF3C9">
            <w:pPr>
              <w:pStyle w:val="20"/>
              <w:jc w:val="both"/>
            </w:pPr>
            <w:r>
              <w:rPr>
                <w:rFonts w:hint="eastAsia"/>
              </w:rPr>
              <w:t>重点服务器</w:t>
            </w:r>
          </w:p>
        </w:tc>
        <w:tc>
          <w:tcPr>
            <w:tcW w:w="951" w:type="pct"/>
            <w:vAlign w:val="center"/>
          </w:tcPr>
          <w:p w14:paraId="14A14D6C">
            <w:pPr>
              <w:pStyle w:val="20"/>
              <w:jc w:val="both"/>
            </w:pPr>
            <w:r>
              <w:rPr>
                <w:rFonts w:hint="eastAsia"/>
              </w:rPr>
              <w:t>7*24小时监测</w:t>
            </w:r>
          </w:p>
        </w:tc>
        <w:tc>
          <w:tcPr>
            <w:tcW w:w="1535" w:type="pct"/>
            <w:vAlign w:val="center"/>
          </w:tcPr>
          <w:p w14:paraId="0B23F530">
            <w:pPr>
              <w:pStyle w:val="20"/>
              <w:jc w:val="both"/>
            </w:pPr>
            <w:r>
              <w:rPr>
                <w:rFonts w:hint="eastAsia"/>
              </w:rPr>
              <w:t>配备平台工具本地化部署</w:t>
            </w:r>
          </w:p>
        </w:tc>
        <w:tc>
          <w:tcPr>
            <w:tcW w:w="981" w:type="pct"/>
            <w:vAlign w:val="center"/>
          </w:tcPr>
          <w:p w14:paraId="7D81FAD1">
            <w:pPr>
              <w:pStyle w:val="20"/>
              <w:jc w:val="both"/>
            </w:pPr>
            <w:r>
              <w:rPr>
                <w:rFonts w:hint="eastAsia"/>
              </w:rPr>
              <w:t>每季度输出《综合报表》</w:t>
            </w:r>
          </w:p>
        </w:tc>
      </w:tr>
    </w:tbl>
    <w:p w14:paraId="11E33B2C">
      <w:pPr>
        <w:pStyle w:val="4"/>
      </w:pPr>
      <w:bookmarkStart w:id="44" w:name="_Toc111713262"/>
      <w:bookmarkStart w:id="45" w:name="_Toc24483"/>
      <w:bookmarkStart w:id="46" w:name="_Toc21605"/>
      <w:bookmarkStart w:id="47" w:name="_Toc130999460"/>
      <w:bookmarkStart w:id="48" w:name="_Toc28335"/>
      <w:r>
        <w:rPr>
          <w:rFonts w:hint="eastAsia"/>
        </w:rPr>
        <w:t>2.9安全加固咨询服务</w:t>
      </w:r>
      <w:bookmarkEnd w:id="44"/>
      <w:bookmarkEnd w:id="45"/>
      <w:bookmarkEnd w:id="46"/>
      <w:bookmarkEnd w:id="47"/>
      <w:bookmarkEnd w:id="48"/>
    </w:p>
    <w:p w14:paraId="5561D1B0">
      <w:pPr>
        <w:ind w:firstLine="560"/>
      </w:pPr>
      <w:r>
        <w:rPr>
          <w:rFonts w:hint="eastAsia"/>
        </w:rPr>
        <w:t>根据每次安全扫描结果进行分析，提供分析报告和安全加固方案，组织并监控</w:t>
      </w:r>
      <w:r>
        <w:rPr>
          <w:rFonts w:hint="eastAsia"/>
          <w:lang w:eastAsia="zh-CN"/>
        </w:rPr>
        <w:t>梓潼县妇幼保健院</w:t>
      </w:r>
      <w:r>
        <w:rPr>
          <w:rFonts w:hint="eastAsia"/>
        </w:rPr>
        <w:t>各驻点运维部门实施服务器操作系统、中间件、网络、安全设备等层面的安全加固、威胁加固，并提供加固报告。</w:t>
      </w:r>
    </w:p>
    <w:tbl>
      <w:tblPr>
        <w:tblStyle w:val="27"/>
        <w:tblW w:w="995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71"/>
        <w:gridCol w:w="5387"/>
        <w:gridCol w:w="1235"/>
        <w:gridCol w:w="2066"/>
      </w:tblGrid>
      <w:tr w14:paraId="0BD300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1" w:type="dxa"/>
            <w:shd w:val="clear" w:color="auto" w:fill="D6DCE4" w:themeFill="text2" w:themeFillTint="33"/>
            <w:vAlign w:val="center"/>
          </w:tcPr>
          <w:p w14:paraId="24B62A73">
            <w:pPr>
              <w:pStyle w:val="20"/>
              <w:wordWrap/>
              <w:jc w:val="center"/>
              <w:rPr>
                <w:b w:val="0"/>
                <w:i w:val="0"/>
              </w:rPr>
            </w:pPr>
            <w:bookmarkStart w:id="49" w:name="_Hlk133222943"/>
            <w:r>
              <w:rPr>
                <w:rFonts w:hint="eastAsia"/>
                <w:b w:val="0"/>
                <w:i w:val="0"/>
              </w:rPr>
              <w:t>服务内容</w:t>
            </w:r>
          </w:p>
        </w:tc>
        <w:tc>
          <w:tcPr>
            <w:tcW w:w="5387" w:type="dxa"/>
            <w:shd w:val="clear" w:color="auto" w:fill="D6DCE4" w:themeFill="text2" w:themeFillTint="33"/>
            <w:vAlign w:val="center"/>
          </w:tcPr>
          <w:p w14:paraId="7B874BA0">
            <w:pPr>
              <w:pStyle w:val="20"/>
              <w:wordWrap/>
              <w:jc w:val="center"/>
              <w:rPr>
                <w:b w:val="0"/>
                <w:i w:val="0"/>
              </w:rPr>
            </w:pPr>
            <w:r>
              <w:rPr>
                <w:rFonts w:hint="eastAsia"/>
                <w:b w:val="0"/>
                <w:i w:val="0"/>
              </w:rPr>
              <w:t>服务内容</w:t>
            </w:r>
          </w:p>
        </w:tc>
        <w:tc>
          <w:tcPr>
            <w:tcW w:w="1235" w:type="dxa"/>
            <w:shd w:val="clear" w:color="auto" w:fill="D6DCE4" w:themeFill="text2" w:themeFillTint="33"/>
            <w:vAlign w:val="center"/>
          </w:tcPr>
          <w:p w14:paraId="106D2EC4">
            <w:pPr>
              <w:pStyle w:val="20"/>
              <w:wordWrap/>
              <w:jc w:val="center"/>
              <w:rPr>
                <w:b w:val="0"/>
                <w:i w:val="0"/>
              </w:rPr>
            </w:pPr>
            <w:r>
              <w:rPr>
                <w:rFonts w:hint="eastAsia"/>
                <w:b w:val="0"/>
                <w:i w:val="0"/>
              </w:rPr>
              <w:t>服务频率</w:t>
            </w:r>
          </w:p>
        </w:tc>
        <w:tc>
          <w:tcPr>
            <w:tcW w:w="2066" w:type="dxa"/>
            <w:shd w:val="clear" w:color="auto" w:fill="D6DCE4" w:themeFill="text2" w:themeFillTint="33"/>
            <w:vAlign w:val="center"/>
          </w:tcPr>
          <w:p w14:paraId="47A7CF92">
            <w:pPr>
              <w:pStyle w:val="20"/>
              <w:wordWrap/>
              <w:jc w:val="center"/>
              <w:rPr>
                <w:b w:val="0"/>
                <w:i w:val="0"/>
              </w:rPr>
            </w:pPr>
            <w:r>
              <w:rPr>
                <w:rFonts w:hint="eastAsia"/>
                <w:b w:val="0"/>
                <w:i w:val="0"/>
              </w:rPr>
              <w:t>服务成果</w:t>
            </w:r>
          </w:p>
        </w:tc>
      </w:tr>
      <w:tr w14:paraId="241E0F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1" w:type="dxa"/>
            <w:vAlign w:val="center"/>
          </w:tcPr>
          <w:p w14:paraId="38D9A16F">
            <w:pPr>
              <w:pStyle w:val="20"/>
              <w:jc w:val="both"/>
              <w:rPr>
                <w:b w:val="0"/>
                <w:i w:val="0"/>
              </w:rPr>
            </w:pPr>
            <w:r>
              <w:rPr>
                <w:rFonts w:hint="eastAsia"/>
                <w:b w:val="0"/>
                <w:i w:val="0"/>
              </w:rPr>
              <w:t>系统漏洞加固咨询</w:t>
            </w:r>
          </w:p>
        </w:tc>
        <w:tc>
          <w:tcPr>
            <w:tcW w:w="5387" w:type="dxa"/>
            <w:vAlign w:val="center"/>
          </w:tcPr>
          <w:p w14:paraId="1012E9A8">
            <w:pPr>
              <w:pStyle w:val="20"/>
              <w:jc w:val="both"/>
            </w:pPr>
            <w:r>
              <w:rPr>
                <w:rFonts w:hint="eastAsia"/>
              </w:rPr>
              <w:t>根据主机扫描结果，针对不同版本的应用系统及操作系统进行安全漏洞加固咨询。</w:t>
            </w:r>
          </w:p>
        </w:tc>
        <w:tc>
          <w:tcPr>
            <w:tcW w:w="1235" w:type="dxa"/>
            <w:vMerge w:val="restart"/>
            <w:vAlign w:val="center"/>
          </w:tcPr>
          <w:p w14:paraId="409A8CB3">
            <w:pPr>
              <w:pStyle w:val="20"/>
              <w:jc w:val="both"/>
            </w:pPr>
            <w:r>
              <w:rPr>
                <w:rFonts w:hint="eastAsia"/>
                <w:sz w:val="21"/>
                <w:szCs w:val="21"/>
              </w:rPr>
              <w:t>每季度一次</w:t>
            </w:r>
          </w:p>
        </w:tc>
        <w:tc>
          <w:tcPr>
            <w:tcW w:w="2066" w:type="dxa"/>
            <w:vMerge w:val="restart"/>
            <w:vAlign w:val="center"/>
          </w:tcPr>
          <w:p w14:paraId="0414917D">
            <w:pPr>
              <w:pStyle w:val="20"/>
              <w:jc w:val="both"/>
            </w:pPr>
            <w:r>
              <w:rPr>
                <w:rFonts w:hint="eastAsia"/>
              </w:rPr>
              <w:t>《安全加固咨询服务记录表》</w:t>
            </w:r>
          </w:p>
        </w:tc>
      </w:tr>
      <w:tr w14:paraId="0EB117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1" w:type="dxa"/>
            <w:vAlign w:val="center"/>
          </w:tcPr>
          <w:p w14:paraId="30437A9B">
            <w:pPr>
              <w:pStyle w:val="20"/>
              <w:jc w:val="both"/>
              <w:rPr>
                <w:b w:val="0"/>
                <w:i w:val="0"/>
              </w:rPr>
            </w:pPr>
            <w:r>
              <w:rPr>
                <w:rFonts w:hint="eastAsia"/>
                <w:b w:val="0"/>
                <w:i w:val="0"/>
              </w:rPr>
              <w:t>安全配置加固咨询</w:t>
            </w:r>
          </w:p>
        </w:tc>
        <w:tc>
          <w:tcPr>
            <w:tcW w:w="5387" w:type="dxa"/>
            <w:vAlign w:val="center"/>
          </w:tcPr>
          <w:p w14:paraId="27C35F42">
            <w:pPr>
              <w:pStyle w:val="20"/>
              <w:jc w:val="both"/>
            </w:pPr>
            <w:r>
              <w:rPr>
                <w:rFonts w:hint="eastAsia"/>
              </w:rPr>
              <w:t>根据配置核查结果，针对不同版本的应用系统及操作系统进行安全配置加固咨询</w:t>
            </w:r>
          </w:p>
        </w:tc>
        <w:tc>
          <w:tcPr>
            <w:tcW w:w="1235" w:type="dxa"/>
            <w:vMerge w:val="continue"/>
            <w:vAlign w:val="center"/>
          </w:tcPr>
          <w:p w14:paraId="0D2A1D61">
            <w:pPr>
              <w:pStyle w:val="20"/>
              <w:jc w:val="both"/>
            </w:pPr>
          </w:p>
        </w:tc>
        <w:tc>
          <w:tcPr>
            <w:tcW w:w="2066" w:type="dxa"/>
            <w:vMerge w:val="continue"/>
            <w:vAlign w:val="center"/>
          </w:tcPr>
          <w:p w14:paraId="23B5C0C5">
            <w:pPr>
              <w:pStyle w:val="20"/>
              <w:jc w:val="both"/>
            </w:pPr>
          </w:p>
        </w:tc>
      </w:tr>
      <w:tr w14:paraId="29F17C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1" w:type="dxa"/>
            <w:vAlign w:val="center"/>
          </w:tcPr>
          <w:p w14:paraId="3AE697C6">
            <w:pPr>
              <w:pStyle w:val="20"/>
              <w:jc w:val="both"/>
              <w:rPr>
                <w:b w:val="0"/>
                <w:i w:val="0"/>
              </w:rPr>
            </w:pPr>
            <w:r>
              <w:rPr>
                <w:rFonts w:hint="eastAsia"/>
                <w:b w:val="0"/>
                <w:i w:val="0"/>
              </w:rPr>
              <w:t>加固追踪</w:t>
            </w:r>
          </w:p>
        </w:tc>
        <w:tc>
          <w:tcPr>
            <w:tcW w:w="5387" w:type="dxa"/>
            <w:vAlign w:val="center"/>
          </w:tcPr>
          <w:p w14:paraId="3B5962CB">
            <w:pPr>
              <w:pStyle w:val="20"/>
              <w:jc w:val="both"/>
            </w:pPr>
            <w:r>
              <w:rPr>
                <w:rFonts w:hint="eastAsia"/>
              </w:rPr>
              <w:t>每季度提供主机漏洞、业务系统漏洞、配置加固等方面的安全加固情况，跟踪加固进度，通过平台展示安全加固率，便于监测安全加固工作情况与效率，推动安全加固工作的开展。</w:t>
            </w:r>
          </w:p>
        </w:tc>
        <w:tc>
          <w:tcPr>
            <w:tcW w:w="1235" w:type="dxa"/>
            <w:vAlign w:val="center"/>
          </w:tcPr>
          <w:p w14:paraId="6F2FD3BE">
            <w:pPr>
              <w:pStyle w:val="20"/>
              <w:jc w:val="both"/>
            </w:pPr>
            <w:r>
              <w:rPr>
                <w:rFonts w:hint="eastAsia"/>
              </w:rPr>
              <w:t>每季度一次</w:t>
            </w:r>
          </w:p>
        </w:tc>
        <w:tc>
          <w:tcPr>
            <w:tcW w:w="2066" w:type="dxa"/>
            <w:vAlign w:val="center"/>
          </w:tcPr>
          <w:p w14:paraId="18DB239A">
            <w:pPr>
              <w:pStyle w:val="20"/>
              <w:jc w:val="both"/>
            </w:pPr>
            <w:r>
              <w:rPr>
                <w:rFonts w:hint="eastAsia"/>
              </w:rPr>
              <w:t>《安全加固追踪报告》</w:t>
            </w:r>
          </w:p>
        </w:tc>
      </w:tr>
      <w:bookmarkEnd w:id="49"/>
    </w:tbl>
    <w:p w14:paraId="3C3014DC">
      <w:pPr>
        <w:pStyle w:val="4"/>
      </w:pPr>
      <w:bookmarkStart w:id="50" w:name="_Toc111713263"/>
      <w:bookmarkStart w:id="51" w:name="_Toc12775"/>
      <w:bookmarkStart w:id="52" w:name="_Toc31249"/>
      <w:bookmarkStart w:id="53" w:name="_Toc10479"/>
      <w:bookmarkStart w:id="54" w:name="_Toc130999461"/>
      <w:r>
        <w:rPr>
          <w:rFonts w:hint="eastAsia"/>
        </w:rPr>
        <w:t>2.10应急演练服务</w:t>
      </w:r>
      <w:bookmarkEnd w:id="50"/>
      <w:bookmarkEnd w:id="51"/>
      <w:bookmarkEnd w:id="52"/>
      <w:bookmarkEnd w:id="53"/>
      <w:bookmarkEnd w:id="54"/>
    </w:p>
    <w:p w14:paraId="1B9D1DB5">
      <w:pPr>
        <w:ind w:firstLine="560"/>
      </w:pPr>
      <w:r>
        <w:rPr>
          <w:rFonts w:hint="eastAsia"/>
        </w:rPr>
        <w:t>应急演练服务协助</w:t>
      </w:r>
      <w:r>
        <w:rPr>
          <w:rFonts w:hint="eastAsia"/>
          <w:lang w:eastAsia="zh-CN"/>
        </w:rPr>
        <w:t>梓潼县妇幼保健院</w:t>
      </w:r>
      <w:r>
        <w:rPr>
          <w:rFonts w:hint="eastAsia"/>
        </w:rPr>
        <w:t>定期组织各部门进行应急演练，其内容包括但不仅限于：网页挂马、网页篡改、病毒感染、邮件钓鱼等。</w:t>
      </w:r>
    </w:p>
    <w:p w14:paraId="75895DCD">
      <w:pPr>
        <w:ind w:firstLine="560"/>
      </w:pPr>
      <w:r>
        <w:rPr>
          <w:rFonts w:hint="eastAsia"/>
        </w:rPr>
        <w:t>另外，提供咨询和指导服务，确保各部门能根据不同的应急恢复内容，确定演练的内容，并具备独立开展应急演练的能力。</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1595"/>
        <w:gridCol w:w="1306"/>
        <w:gridCol w:w="3047"/>
        <w:gridCol w:w="2708"/>
      </w:tblGrid>
      <w:tr w14:paraId="4F2B7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pct"/>
            <w:shd w:val="clear" w:color="auto" w:fill="EEECE1"/>
            <w:vAlign w:val="center"/>
          </w:tcPr>
          <w:p w14:paraId="31E07264">
            <w:pPr>
              <w:pStyle w:val="20"/>
              <w:jc w:val="both"/>
            </w:pPr>
            <w:r>
              <w:rPr>
                <w:rFonts w:hint="eastAsia"/>
              </w:rPr>
              <w:t>服务方式</w:t>
            </w:r>
          </w:p>
        </w:tc>
        <w:tc>
          <w:tcPr>
            <w:tcW w:w="801" w:type="pct"/>
            <w:shd w:val="clear" w:color="auto" w:fill="EEECE1"/>
            <w:vAlign w:val="center"/>
          </w:tcPr>
          <w:p w14:paraId="0A9135FB">
            <w:pPr>
              <w:pStyle w:val="20"/>
              <w:jc w:val="both"/>
            </w:pPr>
            <w:r>
              <w:rPr>
                <w:rFonts w:hint="eastAsia"/>
              </w:rPr>
              <w:t>服务范围</w:t>
            </w:r>
          </w:p>
        </w:tc>
        <w:tc>
          <w:tcPr>
            <w:tcW w:w="656" w:type="pct"/>
            <w:shd w:val="clear" w:color="auto" w:fill="EEECE1"/>
            <w:vAlign w:val="center"/>
          </w:tcPr>
          <w:p w14:paraId="7FD094E1">
            <w:pPr>
              <w:pStyle w:val="20"/>
              <w:jc w:val="both"/>
            </w:pPr>
            <w:r>
              <w:rPr>
                <w:rFonts w:hint="eastAsia"/>
              </w:rPr>
              <w:t>服务频率</w:t>
            </w:r>
          </w:p>
        </w:tc>
        <w:tc>
          <w:tcPr>
            <w:tcW w:w="1530" w:type="pct"/>
            <w:shd w:val="clear" w:color="auto" w:fill="EEECE1"/>
            <w:vAlign w:val="center"/>
          </w:tcPr>
          <w:p w14:paraId="7FEC6C80">
            <w:pPr>
              <w:pStyle w:val="20"/>
              <w:jc w:val="both"/>
            </w:pPr>
            <w:r>
              <w:rPr>
                <w:rFonts w:hint="eastAsia"/>
              </w:rPr>
              <w:t>配备服务工具</w:t>
            </w:r>
          </w:p>
        </w:tc>
        <w:tc>
          <w:tcPr>
            <w:tcW w:w="1360" w:type="pct"/>
            <w:shd w:val="clear" w:color="auto" w:fill="EEECE1"/>
            <w:vAlign w:val="center"/>
          </w:tcPr>
          <w:p w14:paraId="2C0B78F1">
            <w:pPr>
              <w:pStyle w:val="20"/>
              <w:jc w:val="both"/>
            </w:pPr>
            <w:r>
              <w:rPr>
                <w:rFonts w:hint="eastAsia"/>
              </w:rPr>
              <w:t>输出报告</w:t>
            </w:r>
          </w:p>
        </w:tc>
      </w:tr>
      <w:tr w14:paraId="5B849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pct"/>
            <w:vAlign w:val="center"/>
          </w:tcPr>
          <w:p w14:paraId="5123AF4C">
            <w:pPr>
              <w:pStyle w:val="20"/>
              <w:jc w:val="both"/>
            </w:pPr>
            <w:r>
              <w:rPr>
                <w:rFonts w:hint="eastAsia"/>
              </w:rPr>
              <w:t>现场服务</w:t>
            </w:r>
          </w:p>
        </w:tc>
        <w:tc>
          <w:tcPr>
            <w:tcW w:w="801" w:type="pct"/>
            <w:vAlign w:val="center"/>
          </w:tcPr>
          <w:p w14:paraId="6108E188">
            <w:pPr>
              <w:pStyle w:val="20"/>
              <w:jc w:val="both"/>
            </w:pPr>
            <w:r>
              <w:rPr>
                <w:rFonts w:hint="eastAsia"/>
              </w:rPr>
              <w:t>网站、服务器、终端资产</w:t>
            </w:r>
          </w:p>
        </w:tc>
        <w:tc>
          <w:tcPr>
            <w:tcW w:w="656" w:type="pct"/>
            <w:vAlign w:val="center"/>
          </w:tcPr>
          <w:p w14:paraId="2CC0FFF7">
            <w:pPr>
              <w:pStyle w:val="20"/>
              <w:jc w:val="both"/>
            </w:pPr>
            <w:r>
              <w:rPr>
                <w:rFonts w:hint="eastAsia"/>
              </w:rPr>
              <w:t>每年一次</w:t>
            </w:r>
          </w:p>
        </w:tc>
        <w:tc>
          <w:tcPr>
            <w:tcW w:w="1530" w:type="pct"/>
            <w:vAlign w:val="center"/>
          </w:tcPr>
          <w:p w14:paraId="03286D3E">
            <w:pPr>
              <w:pStyle w:val="20"/>
              <w:jc w:val="both"/>
            </w:pPr>
            <w:r>
              <w:rPr>
                <w:rFonts w:hint="eastAsia"/>
              </w:rPr>
              <w:t>配备平台工具本地化部署，通过平台开展应急演练</w:t>
            </w:r>
          </w:p>
        </w:tc>
        <w:tc>
          <w:tcPr>
            <w:tcW w:w="1360" w:type="pct"/>
            <w:vAlign w:val="center"/>
          </w:tcPr>
          <w:p w14:paraId="40F39414">
            <w:pPr>
              <w:pStyle w:val="20"/>
              <w:jc w:val="both"/>
            </w:pPr>
            <w:r>
              <w:rPr>
                <w:rFonts w:hint="eastAsia"/>
              </w:rPr>
              <w:t>《</w:t>
            </w:r>
            <w:r>
              <w:rPr>
                <w:rFonts w:hint="eastAsia"/>
                <w:lang w:eastAsia="zh-CN"/>
              </w:rPr>
              <w:t>梓潼县妇幼保健院</w:t>
            </w:r>
            <w:r>
              <w:rPr>
                <w:rFonts w:hint="eastAsia"/>
              </w:rPr>
              <w:t>XXX事件应急演练方案》</w:t>
            </w:r>
          </w:p>
        </w:tc>
      </w:tr>
    </w:tbl>
    <w:p w14:paraId="07D71125">
      <w:pPr>
        <w:pStyle w:val="4"/>
      </w:pPr>
      <w:bookmarkStart w:id="55" w:name="_Toc9484"/>
      <w:bookmarkStart w:id="56" w:name="_Toc1911"/>
      <w:r>
        <w:rPr>
          <w:rFonts w:hint="eastAsia"/>
        </w:rPr>
        <w:t>2.11安全应急响应</w:t>
      </w:r>
      <w:bookmarkEnd w:id="43"/>
      <w:bookmarkEnd w:id="55"/>
      <w:bookmarkEnd w:id="56"/>
    </w:p>
    <w:p w14:paraId="60B96EFD">
      <w:pPr>
        <w:ind w:firstLine="560"/>
        <w:rPr>
          <w:rFonts w:ascii="仿宋" w:hAnsi="仿宋"/>
        </w:rPr>
      </w:pPr>
      <w:r>
        <w:rPr>
          <w:rFonts w:hint="eastAsia"/>
        </w:rPr>
        <w:t>提供7*24小时全天候、2小时到达现场，每次提供相应的响应报告，找出根源并提供可行解决方案。安全事件应急处理流程应包含三个阶段，包括事件</w:t>
      </w:r>
      <w:r>
        <w:rPr>
          <w:rFonts w:hint="eastAsia" w:ascii="仿宋" w:hAnsi="仿宋"/>
        </w:rPr>
        <w:t>初期、应急响应实施及输出报告与汇报：</w:t>
      </w:r>
    </w:p>
    <w:p w14:paraId="44E3C2BE">
      <w:pPr>
        <w:ind w:firstLine="482"/>
        <w:rPr>
          <w:rFonts w:ascii="仿宋" w:hAnsi="仿宋"/>
          <w:b/>
          <w:bCs/>
        </w:rPr>
      </w:pPr>
      <w:r>
        <w:rPr>
          <w:rStyle w:val="28"/>
          <w:rFonts w:hint="eastAsia" w:ascii="仿宋" w:hAnsi="仿宋" w:eastAsia="仿宋" w:cstheme="minorEastAsia"/>
          <w:color w:val="000000" w:themeColor="text1"/>
          <w:sz w:val="24"/>
          <w:szCs w:val="24"/>
          <w14:textFill>
            <w14:solidFill>
              <w14:schemeClr w14:val="tx1"/>
            </w14:solidFill>
          </w14:textFill>
        </w:rPr>
        <w:t>事件初期：</w:t>
      </w:r>
      <w:r>
        <w:rPr>
          <w:rFonts w:hint="eastAsia" w:ascii="仿宋" w:hAnsi="仿宋"/>
        </w:rPr>
        <w:t>在实施应急响应工作前，客户经理或项目经理收到客户申请应急响应支持，由客户经理或项目经理协调内部技术支持人员和客户技术人员第一时间取得联系，了解事件发生情况。技术人员判断事件类型，是否需要启用应急响应服务。</w:t>
      </w:r>
    </w:p>
    <w:p w14:paraId="70B2BCE6">
      <w:pPr>
        <w:ind w:firstLine="482"/>
        <w:rPr>
          <w:rFonts w:ascii="仿宋" w:hAnsi="仿宋"/>
        </w:rPr>
      </w:pPr>
      <w:r>
        <w:rPr>
          <w:rStyle w:val="28"/>
          <w:rFonts w:hint="eastAsia" w:ascii="仿宋" w:hAnsi="仿宋" w:eastAsia="仿宋" w:cstheme="minorEastAsia"/>
          <w:color w:val="000000" w:themeColor="text1"/>
          <w:sz w:val="24"/>
          <w:szCs w:val="24"/>
          <w14:textFill>
            <w14:solidFill>
              <w14:schemeClr w14:val="tx1"/>
            </w14:solidFill>
          </w14:textFill>
        </w:rPr>
        <w:t>应急响应实施：</w:t>
      </w:r>
      <w:r>
        <w:rPr>
          <w:rFonts w:hint="eastAsia" w:ascii="仿宋" w:hAnsi="仿宋"/>
        </w:rPr>
        <w:t>在判断事件类型可能为安全事件，启用应急响应后，技术人员通过现场或非现场等方式进行信息收集工作，详细了解掌握事件发生的始终、现状、可能的影响，对事件进行详细分析，提供事件处理建议，并协助客户解决事件。</w:t>
      </w:r>
    </w:p>
    <w:p w14:paraId="1405C782">
      <w:pPr>
        <w:ind w:firstLine="482"/>
        <w:rPr>
          <w:rFonts w:ascii="仿宋" w:hAnsi="仿宋"/>
        </w:rPr>
      </w:pPr>
      <w:r>
        <w:rPr>
          <w:rStyle w:val="28"/>
          <w:rFonts w:hint="eastAsia" w:ascii="仿宋" w:hAnsi="仿宋" w:eastAsia="仿宋" w:cstheme="minorEastAsia"/>
          <w:color w:val="000000" w:themeColor="text1"/>
          <w:sz w:val="24"/>
          <w:szCs w:val="24"/>
          <w14:textFill>
            <w14:solidFill>
              <w14:schemeClr w14:val="tx1"/>
            </w14:solidFill>
          </w14:textFill>
        </w:rPr>
        <w:t>输出报告与汇报：</w:t>
      </w:r>
      <w:r>
        <w:rPr>
          <w:rFonts w:hint="eastAsia" w:ascii="仿宋" w:hAnsi="仿宋"/>
        </w:rPr>
        <w:t>待事件处理结束后，技术人员整理事件分析、事件处理的过程记录和相关资料，撰写应急响应服务记录报告，提交给客户。对于大型、复杂的应急响应过程还需进行整体的事件处理汇报工作。</w:t>
      </w:r>
    </w:p>
    <w:p w14:paraId="3CC374C2">
      <w:pPr>
        <w:ind w:firstLine="560"/>
      </w:pPr>
      <w:r>
        <w:rPr>
          <w:rFonts w:hint="eastAsia" w:ascii="仿宋" w:hAnsi="仿宋"/>
        </w:rPr>
        <w:t>安全事件应急处理过程中，应关联失陷主机发现过程，并结合实现主机分析报告进行处置汇报。</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2900"/>
        <w:gridCol w:w="1306"/>
        <w:gridCol w:w="2035"/>
        <w:gridCol w:w="2414"/>
      </w:tblGrid>
      <w:tr w14:paraId="5CF6A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pct"/>
            <w:shd w:val="clear" w:color="auto" w:fill="EEECE1"/>
            <w:vAlign w:val="center"/>
          </w:tcPr>
          <w:p w14:paraId="31630899">
            <w:pPr>
              <w:pStyle w:val="20"/>
              <w:jc w:val="both"/>
            </w:pPr>
            <w:r>
              <w:rPr>
                <w:rFonts w:hint="eastAsia"/>
              </w:rPr>
              <w:t>服务方式</w:t>
            </w:r>
          </w:p>
        </w:tc>
        <w:tc>
          <w:tcPr>
            <w:tcW w:w="1456" w:type="pct"/>
            <w:shd w:val="clear" w:color="auto" w:fill="EEECE1"/>
            <w:vAlign w:val="center"/>
          </w:tcPr>
          <w:p w14:paraId="3F4DB26B">
            <w:pPr>
              <w:pStyle w:val="20"/>
              <w:jc w:val="both"/>
            </w:pPr>
            <w:r>
              <w:rPr>
                <w:rFonts w:hint="eastAsia"/>
              </w:rPr>
              <w:t>服务范围</w:t>
            </w:r>
          </w:p>
        </w:tc>
        <w:tc>
          <w:tcPr>
            <w:tcW w:w="656" w:type="pct"/>
            <w:shd w:val="clear" w:color="auto" w:fill="EEECE1"/>
            <w:vAlign w:val="center"/>
          </w:tcPr>
          <w:p w14:paraId="22C28EBC">
            <w:pPr>
              <w:pStyle w:val="20"/>
              <w:jc w:val="both"/>
            </w:pPr>
            <w:r>
              <w:rPr>
                <w:rFonts w:hint="eastAsia"/>
              </w:rPr>
              <w:t>服务频率</w:t>
            </w:r>
          </w:p>
        </w:tc>
        <w:tc>
          <w:tcPr>
            <w:tcW w:w="1022" w:type="pct"/>
            <w:shd w:val="clear" w:color="auto" w:fill="EEECE1"/>
            <w:vAlign w:val="center"/>
          </w:tcPr>
          <w:p w14:paraId="1CEA904D">
            <w:pPr>
              <w:pStyle w:val="20"/>
              <w:jc w:val="both"/>
            </w:pPr>
            <w:r>
              <w:rPr>
                <w:rFonts w:hint="eastAsia"/>
              </w:rPr>
              <w:t>配备服务工具</w:t>
            </w:r>
          </w:p>
        </w:tc>
        <w:tc>
          <w:tcPr>
            <w:tcW w:w="1212" w:type="pct"/>
            <w:shd w:val="clear" w:color="auto" w:fill="EEECE1"/>
            <w:vAlign w:val="center"/>
          </w:tcPr>
          <w:p w14:paraId="6DAE90D1">
            <w:pPr>
              <w:pStyle w:val="20"/>
              <w:jc w:val="both"/>
            </w:pPr>
            <w:r>
              <w:rPr>
                <w:rFonts w:hint="eastAsia"/>
              </w:rPr>
              <w:t>输出报告</w:t>
            </w:r>
          </w:p>
        </w:tc>
      </w:tr>
      <w:tr w14:paraId="5C28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pct"/>
            <w:vAlign w:val="center"/>
          </w:tcPr>
          <w:p w14:paraId="7C7D2051">
            <w:pPr>
              <w:pStyle w:val="20"/>
              <w:jc w:val="both"/>
            </w:pPr>
            <w:r>
              <w:rPr>
                <w:rFonts w:hint="eastAsia"/>
              </w:rPr>
              <w:t>现场服务</w:t>
            </w:r>
          </w:p>
        </w:tc>
        <w:tc>
          <w:tcPr>
            <w:tcW w:w="1456" w:type="pct"/>
            <w:vAlign w:val="center"/>
          </w:tcPr>
          <w:p w14:paraId="674DCFD7">
            <w:pPr>
              <w:pStyle w:val="20"/>
              <w:jc w:val="both"/>
            </w:pPr>
            <w:r>
              <w:rPr>
                <w:rFonts w:hint="eastAsia"/>
              </w:rPr>
              <w:t>网站、服务器、终端资产</w:t>
            </w:r>
          </w:p>
        </w:tc>
        <w:tc>
          <w:tcPr>
            <w:tcW w:w="656" w:type="pct"/>
            <w:vAlign w:val="center"/>
          </w:tcPr>
          <w:p w14:paraId="2F2B543B">
            <w:pPr>
              <w:pStyle w:val="20"/>
              <w:jc w:val="both"/>
            </w:pPr>
            <w:r>
              <w:rPr>
                <w:rFonts w:hint="eastAsia"/>
              </w:rPr>
              <w:t>按需</w:t>
            </w:r>
          </w:p>
        </w:tc>
        <w:tc>
          <w:tcPr>
            <w:tcW w:w="1022" w:type="pct"/>
            <w:vAlign w:val="center"/>
          </w:tcPr>
          <w:p w14:paraId="2C4B2F34">
            <w:pPr>
              <w:pStyle w:val="20"/>
              <w:jc w:val="both"/>
            </w:pPr>
            <w:r>
              <w:rPr>
                <w:rFonts w:hint="eastAsia"/>
              </w:rPr>
              <w:t>配备平台工具本地化部署</w:t>
            </w:r>
          </w:p>
        </w:tc>
        <w:tc>
          <w:tcPr>
            <w:tcW w:w="1212" w:type="pct"/>
            <w:vAlign w:val="center"/>
          </w:tcPr>
          <w:p w14:paraId="5B5EBA93">
            <w:pPr>
              <w:pStyle w:val="20"/>
              <w:jc w:val="both"/>
            </w:pPr>
            <w:r>
              <w:rPr>
                <w:rFonts w:hint="eastAsia"/>
              </w:rPr>
              <w:t>《</w:t>
            </w:r>
            <w:r>
              <w:rPr>
                <w:rFonts w:hint="eastAsia"/>
                <w:lang w:eastAsia="zh-CN"/>
              </w:rPr>
              <w:t>梓潼县妇幼保健院</w:t>
            </w:r>
            <w:r>
              <w:rPr>
                <w:rFonts w:hint="eastAsia"/>
              </w:rPr>
              <w:t>XXX事件应急响应报告》</w:t>
            </w:r>
          </w:p>
        </w:tc>
      </w:tr>
    </w:tbl>
    <w:p w14:paraId="1AD0958C">
      <w:pPr>
        <w:pStyle w:val="4"/>
      </w:pPr>
      <w:bookmarkStart w:id="57" w:name="_Toc1783"/>
      <w:bookmarkStart w:id="58" w:name="_Toc18100"/>
      <w:bookmarkStart w:id="59" w:name="_Toc130999462"/>
      <w:bookmarkStart w:id="60" w:name="_Toc111713264"/>
      <w:bookmarkStart w:id="61" w:name="_Toc27722"/>
      <w:r>
        <w:rPr>
          <w:rFonts w:hint="eastAsia"/>
        </w:rPr>
        <w:t>2.12重保远程值守服务</w:t>
      </w:r>
      <w:bookmarkEnd w:id="57"/>
      <w:bookmarkEnd w:id="58"/>
    </w:p>
    <w:p w14:paraId="4F05D1F5">
      <w:pPr>
        <w:ind w:firstLine="560"/>
      </w:pPr>
      <w:r>
        <w:rPr>
          <w:rFonts w:hint="eastAsia"/>
        </w:rPr>
        <w:t>做好重要时期（两会、国庆等时期）用户网络安全保障工作，提前开展安全自查，安全加固，消除安全隐患。重保期间做好远程安全值守，保障业务稳定，网络安全，保障单位利益。</w:t>
      </w:r>
    </w:p>
    <w:tbl>
      <w:tblPr>
        <w:tblStyle w:val="9"/>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1519"/>
        <w:gridCol w:w="1780"/>
        <w:gridCol w:w="2793"/>
        <w:gridCol w:w="2415"/>
      </w:tblGrid>
      <w:tr w14:paraId="2F5E6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shd w:val="clear" w:color="auto" w:fill="EEECE1"/>
            <w:vAlign w:val="center"/>
          </w:tcPr>
          <w:p w14:paraId="2D548364">
            <w:pPr>
              <w:pStyle w:val="20"/>
              <w:jc w:val="both"/>
            </w:pPr>
            <w:r>
              <w:rPr>
                <w:rFonts w:hint="eastAsia"/>
              </w:rPr>
              <w:t>服务方式</w:t>
            </w:r>
          </w:p>
        </w:tc>
        <w:tc>
          <w:tcPr>
            <w:tcW w:w="763" w:type="pct"/>
            <w:shd w:val="clear" w:color="auto" w:fill="EEECE1"/>
            <w:vAlign w:val="center"/>
          </w:tcPr>
          <w:p w14:paraId="1E414F93">
            <w:pPr>
              <w:pStyle w:val="20"/>
              <w:jc w:val="both"/>
            </w:pPr>
            <w:r>
              <w:rPr>
                <w:rFonts w:hint="eastAsia"/>
              </w:rPr>
              <w:t>服务范围</w:t>
            </w:r>
          </w:p>
        </w:tc>
        <w:tc>
          <w:tcPr>
            <w:tcW w:w="894" w:type="pct"/>
            <w:shd w:val="clear" w:color="auto" w:fill="EEECE1"/>
            <w:vAlign w:val="center"/>
          </w:tcPr>
          <w:p w14:paraId="4A966F60">
            <w:pPr>
              <w:pStyle w:val="20"/>
              <w:jc w:val="both"/>
            </w:pPr>
            <w:r>
              <w:rPr>
                <w:rFonts w:hint="eastAsia"/>
              </w:rPr>
              <w:t>服务频率</w:t>
            </w:r>
          </w:p>
        </w:tc>
        <w:tc>
          <w:tcPr>
            <w:tcW w:w="1403" w:type="pct"/>
            <w:shd w:val="clear" w:color="auto" w:fill="EEECE1"/>
            <w:vAlign w:val="center"/>
          </w:tcPr>
          <w:p w14:paraId="083B9FD4">
            <w:pPr>
              <w:pStyle w:val="20"/>
              <w:jc w:val="both"/>
            </w:pPr>
            <w:r>
              <w:rPr>
                <w:rFonts w:hint="eastAsia"/>
              </w:rPr>
              <w:t>配备服务工具</w:t>
            </w:r>
          </w:p>
        </w:tc>
        <w:tc>
          <w:tcPr>
            <w:tcW w:w="1213" w:type="pct"/>
            <w:shd w:val="clear" w:color="auto" w:fill="EEECE1"/>
            <w:vAlign w:val="center"/>
          </w:tcPr>
          <w:p w14:paraId="726F3558">
            <w:pPr>
              <w:pStyle w:val="20"/>
              <w:jc w:val="both"/>
            </w:pPr>
            <w:r>
              <w:rPr>
                <w:rFonts w:hint="eastAsia"/>
              </w:rPr>
              <w:t>输出报告</w:t>
            </w:r>
          </w:p>
        </w:tc>
      </w:tr>
      <w:tr w14:paraId="72668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Align w:val="center"/>
          </w:tcPr>
          <w:p w14:paraId="548A5DC5">
            <w:pPr>
              <w:pStyle w:val="20"/>
              <w:jc w:val="both"/>
            </w:pPr>
            <w:r>
              <w:rPr>
                <w:rFonts w:hint="eastAsia"/>
              </w:rPr>
              <w:t>远程服务</w:t>
            </w:r>
          </w:p>
        </w:tc>
        <w:tc>
          <w:tcPr>
            <w:tcW w:w="763" w:type="pct"/>
            <w:vAlign w:val="center"/>
          </w:tcPr>
          <w:p w14:paraId="5B3C246F">
            <w:pPr>
              <w:pStyle w:val="20"/>
              <w:jc w:val="both"/>
            </w:pPr>
            <w:r>
              <w:rPr>
                <w:rFonts w:hint="eastAsia"/>
              </w:rPr>
              <w:t>按需</w:t>
            </w:r>
          </w:p>
        </w:tc>
        <w:tc>
          <w:tcPr>
            <w:tcW w:w="894" w:type="pct"/>
            <w:vAlign w:val="center"/>
          </w:tcPr>
          <w:p w14:paraId="2D4E964F">
            <w:pPr>
              <w:pStyle w:val="20"/>
              <w:jc w:val="both"/>
            </w:pPr>
            <w:r>
              <w:rPr>
                <w:rFonts w:hint="eastAsia"/>
              </w:rPr>
              <w:t>按需</w:t>
            </w:r>
          </w:p>
        </w:tc>
        <w:tc>
          <w:tcPr>
            <w:tcW w:w="1403" w:type="pct"/>
            <w:vAlign w:val="center"/>
          </w:tcPr>
          <w:p w14:paraId="3AE92253">
            <w:pPr>
              <w:pStyle w:val="20"/>
              <w:jc w:val="both"/>
            </w:pPr>
            <w:r>
              <w:rPr>
                <w:rFonts w:hint="eastAsia"/>
              </w:rPr>
              <w:t>配备平台工具本地化部署</w:t>
            </w:r>
          </w:p>
        </w:tc>
        <w:tc>
          <w:tcPr>
            <w:tcW w:w="1213" w:type="pct"/>
            <w:vAlign w:val="center"/>
          </w:tcPr>
          <w:p w14:paraId="1CD6AAE3">
            <w:pPr>
              <w:pStyle w:val="20"/>
              <w:jc w:val="both"/>
            </w:pPr>
            <w:r>
              <w:rPr>
                <w:rFonts w:hint="eastAsia"/>
              </w:rPr>
              <w:t>《重保值守报告》</w:t>
            </w:r>
          </w:p>
        </w:tc>
      </w:tr>
    </w:tbl>
    <w:p w14:paraId="5843B24A">
      <w:pPr>
        <w:pStyle w:val="4"/>
      </w:pPr>
      <w:bookmarkStart w:id="62" w:name="_Toc11508"/>
      <w:bookmarkStart w:id="63" w:name="_Toc6177"/>
      <w:r>
        <w:rPr>
          <w:rFonts w:hint="eastAsia"/>
        </w:rPr>
        <w:t>2.13安全培训服务</w:t>
      </w:r>
      <w:bookmarkEnd w:id="59"/>
      <w:bookmarkEnd w:id="60"/>
      <w:bookmarkEnd w:id="61"/>
      <w:bookmarkEnd w:id="62"/>
      <w:bookmarkEnd w:id="63"/>
    </w:p>
    <w:p w14:paraId="182AC470">
      <w:pPr>
        <w:ind w:firstLine="560"/>
      </w:pPr>
      <w:r>
        <w:rPr>
          <w:rFonts w:hint="eastAsia"/>
        </w:rPr>
        <w:t>面向</w:t>
      </w:r>
      <w:r>
        <w:rPr>
          <w:rFonts w:hint="eastAsia"/>
          <w:lang w:eastAsia="zh-CN"/>
        </w:rPr>
        <w:t>梓潼县妇幼保健院</w:t>
      </w:r>
      <w:r>
        <w:rPr>
          <w:rFonts w:hint="eastAsia"/>
        </w:rPr>
        <w:t>全员，通过网上视频学习和线下专题培训两种方式进行有效的安全意识灌输，针对目前主流的网上诈骗、个人信息泄露、办公安全意识等进行全面的讲解。需要配套相应的安全攻击过程演示等，保证培训过程中的生动性，确保学员的培训效果。</w:t>
      </w:r>
    </w:p>
    <w:p w14:paraId="3BBECA77">
      <w:pPr>
        <w:ind w:firstLine="560"/>
      </w:pPr>
      <w:r>
        <w:rPr>
          <w:rFonts w:hint="eastAsia"/>
        </w:rPr>
        <w:t>针对信息安全技术人员，提供安全技术应用经验培训，加强对安全技术手段在本单位的应用能力，提高整体业务技术能力。</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1"/>
        <w:gridCol w:w="1886"/>
        <w:gridCol w:w="1599"/>
        <w:gridCol w:w="1742"/>
        <w:gridCol w:w="3138"/>
      </w:tblGrid>
      <w:tr w14:paraId="1E20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pct"/>
            <w:shd w:val="clear" w:color="auto" w:fill="EEECE1"/>
            <w:vAlign w:val="center"/>
          </w:tcPr>
          <w:p w14:paraId="2169FF8A">
            <w:pPr>
              <w:pStyle w:val="20"/>
              <w:jc w:val="both"/>
            </w:pPr>
            <w:r>
              <w:rPr>
                <w:rFonts w:hint="eastAsia"/>
              </w:rPr>
              <w:t>服务方式</w:t>
            </w:r>
          </w:p>
        </w:tc>
        <w:tc>
          <w:tcPr>
            <w:tcW w:w="947" w:type="pct"/>
            <w:shd w:val="clear" w:color="auto" w:fill="EEECE1"/>
            <w:vAlign w:val="center"/>
          </w:tcPr>
          <w:p w14:paraId="7A7D0F78">
            <w:pPr>
              <w:pStyle w:val="20"/>
              <w:jc w:val="both"/>
            </w:pPr>
            <w:r>
              <w:rPr>
                <w:rFonts w:hint="eastAsia"/>
              </w:rPr>
              <w:t>服务范围</w:t>
            </w:r>
          </w:p>
        </w:tc>
        <w:tc>
          <w:tcPr>
            <w:tcW w:w="803" w:type="pct"/>
            <w:shd w:val="clear" w:color="auto" w:fill="EEECE1"/>
            <w:vAlign w:val="center"/>
          </w:tcPr>
          <w:p w14:paraId="2AC77398">
            <w:pPr>
              <w:pStyle w:val="20"/>
              <w:jc w:val="both"/>
            </w:pPr>
            <w:r>
              <w:rPr>
                <w:rFonts w:hint="eastAsia"/>
              </w:rPr>
              <w:t>服务频率</w:t>
            </w:r>
          </w:p>
        </w:tc>
        <w:tc>
          <w:tcPr>
            <w:tcW w:w="875" w:type="pct"/>
            <w:shd w:val="clear" w:color="auto" w:fill="EEECE1"/>
            <w:vAlign w:val="center"/>
          </w:tcPr>
          <w:p w14:paraId="40AA5194">
            <w:pPr>
              <w:pStyle w:val="20"/>
              <w:jc w:val="both"/>
            </w:pPr>
            <w:r>
              <w:rPr>
                <w:rFonts w:hint="eastAsia"/>
              </w:rPr>
              <w:t>配备服务工具</w:t>
            </w:r>
          </w:p>
        </w:tc>
        <w:tc>
          <w:tcPr>
            <w:tcW w:w="1576" w:type="pct"/>
            <w:shd w:val="clear" w:color="auto" w:fill="EEECE1"/>
            <w:vAlign w:val="center"/>
          </w:tcPr>
          <w:p w14:paraId="61087FEB">
            <w:pPr>
              <w:pStyle w:val="20"/>
              <w:jc w:val="both"/>
            </w:pPr>
            <w:r>
              <w:rPr>
                <w:rFonts w:hint="eastAsia"/>
              </w:rPr>
              <w:t>输出报告</w:t>
            </w:r>
          </w:p>
        </w:tc>
      </w:tr>
      <w:tr w14:paraId="525C9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pct"/>
            <w:vAlign w:val="center"/>
          </w:tcPr>
          <w:p w14:paraId="55BBFF10">
            <w:pPr>
              <w:pStyle w:val="20"/>
              <w:jc w:val="both"/>
            </w:pPr>
            <w:r>
              <w:rPr>
                <w:rFonts w:hint="eastAsia"/>
              </w:rPr>
              <w:t>现场服务</w:t>
            </w:r>
          </w:p>
        </w:tc>
        <w:tc>
          <w:tcPr>
            <w:tcW w:w="947" w:type="pct"/>
            <w:vAlign w:val="center"/>
          </w:tcPr>
          <w:p w14:paraId="2834E93F">
            <w:pPr>
              <w:pStyle w:val="20"/>
              <w:jc w:val="both"/>
            </w:pPr>
            <w:r>
              <w:rPr>
                <w:rFonts w:hint="eastAsia"/>
              </w:rPr>
              <w:t>管理人员、信息技术人员</w:t>
            </w:r>
          </w:p>
        </w:tc>
        <w:tc>
          <w:tcPr>
            <w:tcW w:w="803" w:type="pct"/>
            <w:vAlign w:val="center"/>
          </w:tcPr>
          <w:p w14:paraId="10E4E6F6">
            <w:pPr>
              <w:pStyle w:val="20"/>
              <w:jc w:val="both"/>
            </w:pPr>
            <w:r>
              <w:rPr>
                <w:rFonts w:hint="eastAsia"/>
              </w:rPr>
              <w:t>1年/1次</w:t>
            </w:r>
          </w:p>
        </w:tc>
        <w:tc>
          <w:tcPr>
            <w:tcW w:w="875" w:type="pct"/>
            <w:vAlign w:val="center"/>
          </w:tcPr>
          <w:p w14:paraId="387D3360">
            <w:pPr>
              <w:pStyle w:val="20"/>
              <w:jc w:val="both"/>
            </w:pPr>
            <w:r>
              <w:rPr>
                <w:rFonts w:hint="eastAsia"/>
              </w:rPr>
              <w:t>无</w:t>
            </w:r>
          </w:p>
        </w:tc>
        <w:tc>
          <w:tcPr>
            <w:tcW w:w="1576" w:type="pct"/>
            <w:vAlign w:val="center"/>
          </w:tcPr>
          <w:p w14:paraId="3628B2B5">
            <w:pPr>
              <w:pStyle w:val="20"/>
              <w:jc w:val="both"/>
            </w:pPr>
            <w:r>
              <w:rPr>
                <w:rFonts w:hint="eastAsia"/>
              </w:rPr>
              <w:t>《</w:t>
            </w:r>
            <w:r>
              <w:rPr>
                <w:rFonts w:hint="eastAsia"/>
                <w:lang w:eastAsia="zh-CN"/>
              </w:rPr>
              <w:t>梓潼县妇幼保健院</w:t>
            </w:r>
            <w:r>
              <w:rPr>
                <w:rFonts w:hint="eastAsia"/>
              </w:rPr>
              <w:t>安全培训课件》</w:t>
            </w:r>
          </w:p>
        </w:tc>
      </w:tr>
    </w:tbl>
    <w:p w14:paraId="1D819C2E">
      <w:pPr>
        <w:pStyle w:val="4"/>
      </w:pPr>
      <w:r>
        <w:rPr>
          <w:rFonts w:hint="eastAsia"/>
        </w:rPr>
        <w:t>2.14★服务工具要求</w:t>
      </w:r>
    </w:p>
    <w:p w14:paraId="4A460F38">
      <w:pPr>
        <w:ind w:firstLine="560"/>
      </w:pPr>
      <w:r>
        <w:rPr>
          <w:rFonts w:hint="eastAsia"/>
        </w:rPr>
        <w:t>为保障安全服务效果，供应商需提供一体化运维服务平台工具。工具规格要求如下：</w:t>
      </w:r>
    </w:p>
    <w:tbl>
      <w:tblPr>
        <w:tblStyle w:val="8"/>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089"/>
        <w:gridCol w:w="8169"/>
      </w:tblGrid>
      <w:tr w14:paraId="74777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04" w:type="dxa"/>
            <w:vAlign w:val="center"/>
          </w:tcPr>
          <w:p w14:paraId="4186E991">
            <w:pPr>
              <w:pStyle w:val="20"/>
            </w:pPr>
            <w:r>
              <w:rPr>
                <w:rFonts w:hint="eastAsia"/>
                <w:lang w:bidi="ar"/>
              </w:rPr>
              <w:t>序号</w:t>
            </w:r>
          </w:p>
        </w:tc>
        <w:tc>
          <w:tcPr>
            <w:tcW w:w="1089" w:type="dxa"/>
            <w:vAlign w:val="center"/>
          </w:tcPr>
          <w:p w14:paraId="6FBB29A1">
            <w:pPr>
              <w:pStyle w:val="20"/>
            </w:pPr>
            <w:r>
              <w:rPr>
                <w:rFonts w:hint="eastAsia"/>
                <w:lang w:bidi="ar"/>
              </w:rPr>
              <w:t>指标</w:t>
            </w:r>
          </w:p>
        </w:tc>
        <w:tc>
          <w:tcPr>
            <w:tcW w:w="8169" w:type="dxa"/>
            <w:vAlign w:val="center"/>
          </w:tcPr>
          <w:p w14:paraId="7A38EA0A">
            <w:pPr>
              <w:pStyle w:val="20"/>
            </w:pPr>
            <w:r>
              <w:rPr>
                <w:rFonts w:hint="eastAsia"/>
                <w:lang w:bidi="ar"/>
              </w:rPr>
              <w:t>规格参数</w:t>
            </w:r>
          </w:p>
        </w:tc>
      </w:tr>
      <w:tr w14:paraId="3E779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04" w:type="dxa"/>
            <w:vAlign w:val="center"/>
          </w:tcPr>
          <w:p w14:paraId="2663D003">
            <w:pPr>
              <w:pStyle w:val="20"/>
            </w:pPr>
            <w:r>
              <w:rPr>
                <w:rFonts w:hint="eastAsia"/>
                <w:lang w:bidi="ar"/>
              </w:rPr>
              <w:t>1</w:t>
            </w:r>
          </w:p>
        </w:tc>
        <w:tc>
          <w:tcPr>
            <w:tcW w:w="1089" w:type="dxa"/>
            <w:vAlign w:val="center"/>
          </w:tcPr>
          <w:p w14:paraId="5E2FB8F6">
            <w:pPr>
              <w:pStyle w:val="20"/>
            </w:pPr>
            <w:r>
              <w:rPr>
                <w:rFonts w:hint="eastAsia"/>
                <w:lang w:bidi="ar"/>
              </w:rPr>
              <w:t>基本要求</w:t>
            </w:r>
          </w:p>
        </w:tc>
        <w:tc>
          <w:tcPr>
            <w:tcW w:w="8169" w:type="dxa"/>
            <w:vAlign w:val="center"/>
          </w:tcPr>
          <w:p w14:paraId="67D7A635">
            <w:pPr>
              <w:pStyle w:val="20"/>
              <w:rPr>
                <w:lang w:bidi="ar"/>
              </w:rPr>
            </w:pPr>
            <w:r>
              <w:rPr>
                <w:rFonts w:hint="eastAsia"/>
                <w:lang w:bidi="ar"/>
              </w:rPr>
              <w:t>1.服务工具采用B/S设计架构，无须安装客户端，可通过浏览器远程对产品进行管理；</w:t>
            </w:r>
          </w:p>
          <w:p w14:paraId="57102E39">
            <w:pPr>
              <w:pStyle w:val="20"/>
              <w:rPr>
                <w:lang w:bidi="ar"/>
              </w:rPr>
            </w:pPr>
            <w:r>
              <w:rPr>
                <w:rFonts w:hint="eastAsia"/>
                <w:lang w:bidi="ar"/>
              </w:rPr>
              <w:t>2.机架式设备，配置≥4个千兆电口；CPU：≥24核心48线程；内存：≥64G内存；硬盘≥1T*2硬盘存储空间，冗余电源（≥2个电源）；</w:t>
            </w:r>
          </w:p>
          <w:p w14:paraId="22CA1AEC">
            <w:pPr>
              <w:pStyle w:val="20"/>
            </w:pPr>
            <w:r>
              <w:rPr>
                <w:rFonts w:hint="eastAsia"/>
                <w:lang w:bidi="ar"/>
              </w:rPr>
              <w:t>3.为简化运维，提高效率，节约机柜空间，不接受多平台或多产品组合方式提供。</w:t>
            </w:r>
          </w:p>
        </w:tc>
      </w:tr>
      <w:tr w14:paraId="7FF0B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04" w:type="dxa"/>
            <w:vAlign w:val="center"/>
          </w:tcPr>
          <w:p w14:paraId="0DF0D241">
            <w:pPr>
              <w:pStyle w:val="20"/>
            </w:pPr>
            <w:r>
              <w:rPr>
                <w:rFonts w:hint="eastAsia"/>
                <w:lang w:bidi="ar"/>
              </w:rPr>
              <w:t>2</w:t>
            </w:r>
          </w:p>
        </w:tc>
        <w:tc>
          <w:tcPr>
            <w:tcW w:w="1089" w:type="dxa"/>
            <w:vAlign w:val="center"/>
          </w:tcPr>
          <w:p w14:paraId="6ABEB159">
            <w:pPr>
              <w:pStyle w:val="20"/>
              <w:rPr>
                <w:color w:val="000000" w:themeColor="text1"/>
                <w14:textFill>
                  <w14:solidFill>
                    <w14:schemeClr w14:val="tx1"/>
                  </w14:solidFill>
                </w14:textFill>
              </w:rPr>
            </w:pPr>
            <w:r>
              <w:rPr>
                <w:rFonts w:hint="eastAsia"/>
                <w:color w:val="000000" w:themeColor="text1"/>
                <w14:textFill>
                  <w14:solidFill>
                    <w14:schemeClr w14:val="tx1"/>
                  </w14:solidFill>
                </w14:textFill>
              </w:rPr>
              <w:t>授权及许可</w:t>
            </w:r>
          </w:p>
        </w:tc>
        <w:tc>
          <w:tcPr>
            <w:tcW w:w="8169" w:type="dxa"/>
            <w:vAlign w:val="center"/>
          </w:tcPr>
          <w:p w14:paraId="30A683D7">
            <w:pPr>
              <w:pStyle w:val="20"/>
              <w:rPr>
                <w:color w:val="000000" w:themeColor="text1"/>
                <w14:textFill>
                  <w14:solidFill>
                    <w14:schemeClr w14:val="tx1"/>
                  </w14:solidFill>
                </w14:textFill>
              </w:rPr>
            </w:pPr>
            <w:r>
              <w:rPr>
                <w:rFonts w:hint="eastAsia"/>
                <w:color w:val="000000" w:themeColor="text1"/>
                <w14:textFill>
                  <w14:solidFill>
                    <w14:schemeClr w14:val="tx1"/>
                  </w14:solidFill>
                </w14:textFill>
              </w:rPr>
              <w:t>1.扫描次数授权：无限制；</w:t>
            </w:r>
          </w:p>
          <w:p w14:paraId="7F1CA725">
            <w:pPr>
              <w:pStyle w:val="20"/>
              <w:rPr>
                <w:color w:val="000000" w:themeColor="text1"/>
                <w14:textFill>
                  <w14:solidFill>
                    <w14:schemeClr w14:val="tx1"/>
                  </w14:solidFill>
                </w14:textFill>
              </w:rPr>
            </w:pPr>
            <w:r>
              <w:rPr>
                <w:rFonts w:hint="eastAsia"/>
                <w:color w:val="000000" w:themeColor="text1"/>
                <w14:textFill>
                  <w14:solidFill>
                    <w14:schemeClr w14:val="tx1"/>
                  </w14:solidFill>
                </w14:textFill>
              </w:rPr>
              <w:t>2.扫描IP/域名范围授权：无限制；</w:t>
            </w:r>
          </w:p>
          <w:p w14:paraId="094520B2">
            <w:pPr>
              <w:pStyle w:val="20"/>
              <w:rPr>
                <w:color w:val="000000" w:themeColor="text1"/>
                <w14:textFill>
                  <w14:solidFill>
                    <w14:schemeClr w14:val="tx1"/>
                  </w14:solidFill>
                </w14:textFill>
              </w:rPr>
            </w:pPr>
            <w:r>
              <w:rPr>
                <w:rFonts w:hint="eastAsia"/>
                <w:color w:val="000000" w:themeColor="text1"/>
                <w14:textFill>
                  <w14:solidFill>
                    <w14:schemeClr w14:val="tx1"/>
                  </w14:solidFill>
                </w14:textFill>
              </w:rPr>
              <w:t>3.提供仿真业务陷阱授权数：无限制；</w:t>
            </w:r>
          </w:p>
          <w:p w14:paraId="3C03EFA8">
            <w:pPr>
              <w:pStyle w:val="20"/>
              <w:rPr>
                <w:color w:val="000000" w:themeColor="text1"/>
                <w14:textFill>
                  <w14:solidFill>
                    <w14:schemeClr w14:val="tx1"/>
                  </w14:solidFill>
                </w14:textFill>
              </w:rPr>
            </w:pPr>
            <w:r>
              <w:rPr>
                <w:rFonts w:hint="eastAsia"/>
                <w:color w:val="000000" w:themeColor="text1"/>
                <w14:textFill>
                  <w14:solidFill>
                    <w14:schemeClr w14:val="tx1"/>
                  </w14:solidFill>
                </w14:textFill>
              </w:rPr>
              <w:t>4.提供可监测网站授权数：无限制；</w:t>
            </w:r>
          </w:p>
          <w:p w14:paraId="7E0DD333">
            <w:pPr>
              <w:pStyle w:val="20"/>
              <w:rPr>
                <w:color w:val="000000" w:themeColor="text1"/>
                <w14:textFill>
                  <w14:solidFill>
                    <w14:schemeClr w14:val="tx1"/>
                  </w14:solidFill>
                </w14:textFill>
              </w:rPr>
            </w:pPr>
            <w:r>
              <w:rPr>
                <w:rFonts w:hint="eastAsia"/>
                <w:color w:val="000000" w:themeColor="text1"/>
                <w14:textFill>
                  <w14:solidFill>
                    <w14:schemeClr w14:val="tx1"/>
                  </w14:solidFill>
                </w14:textFill>
              </w:rPr>
              <w:t>5.提供主动监测及漏洞屏蔽授权数：</w:t>
            </w:r>
            <w:r>
              <w:rPr>
                <w:rFonts w:hint="eastAsia"/>
                <w:color w:val="000000" w:themeColor="text1"/>
                <w:lang w:bidi="ar"/>
                <w14:textFill>
                  <w14:solidFill>
                    <w14:schemeClr w14:val="tx1"/>
                  </w14:solidFill>
                </w14:textFill>
              </w:rPr>
              <w:t>无限制；</w:t>
            </w:r>
          </w:p>
          <w:p w14:paraId="736C3D31">
            <w:pPr>
              <w:pStyle w:val="20"/>
              <w:rPr>
                <w:color w:val="000000" w:themeColor="text1"/>
                <w14:textFill>
                  <w14:solidFill>
                    <w14:schemeClr w14:val="tx1"/>
                  </w14:solidFill>
                </w14:textFill>
              </w:rPr>
            </w:pPr>
            <w:r>
              <w:rPr>
                <w:rFonts w:hint="eastAsia"/>
                <w:color w:val="000000" w:themeColor="text1"/>
                <w14:textFill>
                  <w14:solidFill>
                    <w14:schemeClr w14:val="tx1"/>
                  </w14:solidFill>
                </w14:textFill>
              </w:rPr>
              <w:t>6.提供互联网出口数据监测带宽：</w:t>
            </w:r>
            <w:r>
              <w:rPr>
                <w:rFonts w:hint="eastAsia"/>
                <w:color w:val="000000" w:themeColor="text1"/>
                <w:lang w:bidi="ar"/>
                <w14:textFill>
                  <w14:solidFill>
                    <w14:schemeClr w14:val="tx1"/>
                  </w14:solidFill>
                </w14:textFill>
              </w:rPr>
              <w:t>≥</w:t>
            </w:r>
            <w:r>
              <w:rPr>
                <w:rFonts w:hint="eastAsia"/>
                <w:color w:val="000000" w:themeColor="text1"/>
                <w14:textFill>
                  <w14:solidFill>
                    <w14:schemeClr w14:val="tx1"/>
                  </w14:solidFill>
                </w14:textFill>
              </w:rPr>
              <w:t>1G</w:t>
            </w:r>
          </w:p>
          <w:p w14:paraId="1A746FC6">
            <w:pPr>
              <w:pStyle w:val="20"/>
              <w:rPr>
                <w:color w:val="000000" w:themeColor="text1"/>
                <w14:textFill>
                  <w14:solidFill>
                    <w14:schemeClr w14:val="tx1"/>
                  </w14:solidFill>
                </w14:textFill>
              </w:rPr>
            </w:pPr>
            <w:r>
              <w:rPr>
                <w:rFonts w:hint="eastAsia"/>
                <w:color w:val="000000" w:themeColor="text1"/>
                <w14:textFill>
                  <w14:solidFill>
                    <w14:schemeClr w14:val="tx1"/>
                  </w14:solidFill>
                </w14:textFill>
              </w:rPr>
              <w:t>7.提供二次开发接口授权；</w:t>
            </w:r>
          </w:p>
        </w:tc>
      </w:tr>
    </w:tbl>
    <w:p w14:paraId="6C62A281">
      <w:pPr>
        <w:pStyle w:val="3"/>
      </w:pPr>
      <w:r>
        <w:rPr>
          <w:rFonts w:hint="eastAsia"/>
        </w:rPr>
        <w:t>3.其他技术、服务等要求</w:t>
      </w:r>
    </w:p>
    <w:p w14:paraId="07304246">
      <w:pPr>
        <w:ind w:firstLine="560"/>
      </w:pPr>
      <w:r>
        <w:rPr>
          <w:rFonts w:hint="eastAsia"/>
        </w:rPr>
        <w:t>1.服务质量保障：供应商应按照项目工作特点为项目服务人员提供必要的工作设备。工作设备在现场服务需要接入网络应遵守采购人的安全要求。供应商对参与的服务人员进行安全管理，服务人员安全管理不到位由供应商承担经济和法律责任，触犯法律的依法追究相关人员的法律责任。</w:t>
      </w:r>
    </w:p>
    <w:p w14:paraId="0BA31F21">
      <w:pPr>
        <w:ind w:firstLine="560"/>
      </w:pPr>
      <w:r>
        <w:rPr>
          <w:rFonts w:hint="eastAsia"/>
        </w:rPr>
        <w:t>2.应急响应要求：服务期内，当全国或采购人出现高危漏洞或突发重要网络安全事件以及暗网内出现有与采购人有关联的高危漏洞时，提供相应的紧急安全事件通告。采购人提出技术支持请求后，项目服务团队须在0.5小时内响应；当发生硬件故障时，在0.5小时内响应，并快速恢复系统正常运行；当硬件故障不能解决时，应在故障发生24小时内提供同档次或更高配置的设备对故障设备进行替换，完成配置，保证业务正常运转，直至故障设备修复后重新部署回原节点。供应商如未能在上述规定时间内解决故障并恢复系统运行，采购人有权请其他专业公司进行维修，所有费用由供应商支付。</w:t>
      </w:r>
    </w:p>
    <w:p w14:paraId="2D460EFE">
      <w:pPr>
        <w:ind w:firstLine="560"/>
      </w:pPr>
      <w:r>
        <w:rPr>
          <w:rFonts w:hint="eastAsia"/>
        </w:rPr>
        <w:t>3.网络安全与保密要求：供应商需提供安全保密承诺书，并与采购人签订供应链保密协议（适用于单位）、安全保密责任书（适用于单位）、个人保密协议（适用于个人）、安全保密责任书（适用于个人），承诺在服务期限内，遵守采购人的安全保密规定，保护采购人的系统、数据、信息的安全，保密期限自服务开始日始至本项目约定的信息全部成为公开信息止。由于供应商违反保密规定而导致的泄密或破坏，由供应商负全责，并由供应商赔偿采购人所有损失。违反保密规定的，采购人有权终止合同，并有权要求供应商向采购人支付合同金额20%的违约金，对由于供应商泄密给采购人造成的经济及声誉损失，采购人有权依照合同和相关保密法律法规追究供应商的法律责任。</w:t>
      </w:r>
    </w:p>
    <w:p w14:paraId="42C6939D">
      <w:pPr>
        <w:ind w:firstLine="560"/>
      </w:pPr>
      <w:r>
        <w:rPr>
          <w:rFonts w:hint="eastAsia"/>
        </w:rPr>
        <w:t>4.★成交供应商在合同签订前须提供服务支撑工具的演示，在采购方确认满足服务所需要求后方可签订服务合同（需提供承诺函，格式自拟）。</w:t>
      </w:r>
    </w:p>
    <w:p w14:paraId="2CFEAEDC">
      <w:pPr>
        <w:ind w:firstLine="560"/>
      </w:pPr>
      <w:r>
        <w:rPr>
          <w:rFonts w:hint="eastAsia"/>
        </w:rPr>
        <w:t>5.★供应商需承诺在服务过程中，未经采购方书面同意，不得更换服务人员（需提供承诺函，格式自拟）。</w:t>
      </w:r>
    </w:p>
    <w:p w14:paraId="64FE7216">
      <w:pPr>
        <w:spacing w:line="240" w:lineRule="auto"/>
        <w:ind w:firstLine="0" w:firstLineChars="0"/>
      </w:pPr>
      <w:r>
        <w:br w:type="page"/>
      </w:r>
    </w:p>
    <w:p w14:paraId="58C047AF">
      <w:pPr>
        <w:pStyle w:val="2"/>
      </w:pPr>
      <w:r>
        <w:rPr>
          <w:rFonts w:hint="eastAsia"/>
        </w:rPr>
        <w:t>二、评分标准</w:t>
      </w:r>
    </w:p>
    <w:tbl>
      <w:tblPr>
        <w:tblStyle w:val="8"/>
        <w:tblW w:w="5000" w:type="pct"/>
        <w:tblInd w:w="0" w:type="dxa"/>
        <w:tblLayout w:type="autofit"/>
        <w:tblCellMar>
          <w:top w:w="0" w:type="dxa"/>
          <w:left w:w="108" w:type="dxa"/>
          <w:bottom w:w="0" w:type="dxa"/>
          <w:right w:w="108" w:type="dxa"/>
        </w:tblCellMar>
      </w:tblPr>
      <w:tblGrid>
        <w:gridCol w:w="861"/>
        <w:gridCol w:w="1307"/>
        <w:gridCol w:w="723"/>
        <w:gridCol w:w="7071"/>
      </w:tblGrid>
      <w:tr w14:paraId="35092794">
        <w:tblPrEx>
          <w:tblCellMar>
            <w:top w:w="0" w:type="dxa"/>
            <w:left w:w="108" w:type="dxa"/>
            <w:bottom w:w="0" w:type="dxa"/>
            <w:right w:w="108" w:type="dxa"/>
          </w:tblCellMar>
        </w:tblPrEx>
        <w:trPr>
          <w:trHeight w:val="285" w:hRule="atLeast"/>
        </w:trPr>
        <w:tc>
          <w:tcPr>
            <w:tcW w:w="432" w:type="pct"/>
            <w:tcBorders>
              <w:top w:val="single" w:color="auto" w:sz="8" w:space="0"/>
              <w:left w:val="single" w:color="auto" w:sz="8" w:space="0"/>
              <w:bottom w:val="single" w:color="auto" w:sz="8" w:space="0"/>
              <w:right w:val="single" w:color="auto" w:sz="8" w:space="0"/>
            </w:tcBorders>
            <w:shd w:val="clear" w:color="auto" w:fill="auto"/>
            <w:vAlign w:val="center"/>
          </w:tcPr>
          <w:p w14:paraId="291E81BB">
            <w:pPr>
              <w:pStyle w:val="20"/>
            </w:pPr>
            <w:r>
              <w:rPr>
                <w:rFonts w:hint="eastAsia"/>
              </w:rPr>
              <w:t>序号</w:t>
            </w:r>
          </w:p>
        </w:tc>
        <w:tc>
          <w:tcPr>
            <w:tcW w:w="656" w:type="pct"/>
            <w:tcBorders>
              <w:top w:val="single" w:color="auto" w:sz="8" w:space="0"/>
              <w:left w:val="nil"/>
              <w:bottom w:val="single" w:color="auto" w:sz="8" w:space="0"/>
              <w:right w:val="single" w:color="auto" w:sz="8" w:space="0"/>
            </w:tcBorders>
            <w:shd w:val="clear" w:color="auto" w:fill="auto"/>
            <w:vAlign w:val="center"/>
          </w:tcPr>
          <w:p w14:paraId="1263AF83">
            <w:pPr>
              <w:pStyle w:val="20"/>
            </w:pPr>
            <w:r>
              <w:rPr>
                <w:rFonts w:hint="eastAsia"/>
              </w:rPr>
              <w:t>评分项目</w:t>
            </w:r>
          </w:p>
        </w:tc>
        <w:tc>
          <w:tcPr>
            <w:tcW w:w="363" w:type="pct"/>
            <w:tcBorders>
              <w:top w:val="single" w:color="auto" w:sz="8" w:space="0"/>
              <w:left w:val="nil"/>
              <w:bottom w:val="single" w:color="auto" w:sz="8" w:space="0"/>
              <w:right w:val="single" w:color="auto" w:sz="8" w:space="0"/>
            </w:tcBorders>
            <w:shd w:val="clear" w:color="auto" w:fill="auto"/>
            <w:vAlign w:val="center"/>
          </w:tcPr>
          <w:p w14:paraId="1551007F">
            <w:pPr>
              <w:pStyle w:val="20"/>
            </w:pPr>
            <w:r>
              <w:rPr>
                <w:rFonts w:hint="eastAsia"/>
              </w:rPr>
              <w:t>分值</w:t>
            </w:r>
          </w:p>
        </w:tc>
        <w:tc>
          <w:tcPr>
            <w:tcW w:w="3549" w:type="pct"/>
            <w:tcBorders>
              <w:top w:val="single" w:color="auto" w:sz="8" w:space="0"/>
              <w:left w:val="nil"/>
              <w:bottom w:val="single" w:color="auto" w:sz="8" w:space="0"/>
              <w:right w:val="single" w:color="auto" w:sz="8" w:space="0"/>
            </w:tcBorders>
            <w:shd w:val="clear" w:color="auto" w:fill="auto"/>
            <w:vAlign w:val="center"/>
          </w:tcPr>
          <w:p w14:paraId="5F8CBBB0">
            <w:pPr>
              <w:pStyle w:val="20"/>
              <w:jc w:val="center"/>
            </w:pPr>
            <w:r>
              <w:rPr>
                <w:rFonts w:hint="eastAsia"/>
              </w:rPr>
              <w:t>评分依据</w:t>
            </w:r>
          </w:p>
        </w:tc>
      </w:tr>
      <w:tr w14:paraId="68A6AABB">
        <w:tblPrEx>
          <w:tblCellMar>
            <w:top w:w="0" w:type="dxa"/>
            <w:left w:w="108" w:type="dxa"/>
            <w:bottom w:w="0" w:type="dxa"/>
            <w:right w:w="108" w:type="dxa"/>
          </w:tblCellMar>
        </w:tblPrEx>
        <w:trPr>
          <w:trHeight w:val="525" w:hRule="atLeast"/>
        </w:trPr>
        <w:tc>
          <w:tcPr>
            <w:tcW w:w="432" w:type="pct"/>
            <w:tcBorders>
              <w:top w:val="nil"/>
              <w:left w:val="single" w:color="auto" w:sz="8" w:space="0"/>
              <w:bottom w:val="single" w:color="auto" w:sz="8" w:space="0"/>
              <w:right w:val="single" w:color="auto" w:sz="8" w:space="0"/>
            </w:tcBorders>
            <w:shd w:val="clear" w:color="auto" w:fill="auto"/>
            <w:vAlign w:val="center"/>
          </w:tcPr>
          <w:p w14:paraId="3B402E09">
            <w:pPr>
              <w:pStyle w:val="20"/>
            </w:pPr>
            <w:r>
              <w:rPr>
                <w:rFonts w:hint="eastAsia"/>
              </w:rPr>
              <w:t>1</w:t>
            </w:r>
          </w:p>
        </w:tc>
        <w:tc>
          <w:tcPr>
            <w:tcW w:w="656" w:type="pct"/>
            <w:tcBorders>
              <w:top w:val="nil"/>
              <w:left w:val="nil"/>
              <w:bottom w:val="single" w:color="auto" w:sz="8" w:space="0"/>
              <w:right w:val="single" w:color="auto" w:sz="8" w:space="0"/>
            </w:tcBorders>
            <w:shd w:val="clear" w:color="auto" w:fill="auto"/>
            <w:vAlign w:val="center"/>
          </w:tcPr>
          <w:p w14:paraId="2832DDDF">
            <w:pPr>
              <w:pStyle w:val="20"/>
            </w:pPr>
            <w:r>
              <w:rPr>
                <w:rFonts w:hint="eastAsia"/>
              </w:rPr>
              <w:t>报价</w:t>
            </w:r>
          </w:p>
        </w:tc>
        <w:tc>
          <w:tcPr>
            <w:tcW w:w="363" w:type="pct"/>
            <w:tcBorders>
              <w:top w:val="nil"/>
              <w:left w:val="nil"/>
              <w:bottom w:val="single" w:color="auto" w:sz="8" w:space="0"/>
              <w:right w:val="single" w:color="auto" w:sz="8" w:space="0"/>
            </w:tcBorders>
            <w:shd w:val="clear" w:color="auto" w:fill="auto"/>
            <w:vAlign w:val="center"/>
          </w:tcPr>
          <w:p w14:paraId="42767C3E">
            <w:pPr>
              <w:pStyle w:val="20"/>
            </w:pPr>
            <w:r>
              <w:rPr>
                <w:rFonts w:hint="eastAsia"/>
              </w:rPr>
              <w:t>10</w:t>
            </w:r>
          </w:p>
        </w:tc>
        <w:tc>
          <w:tcPr>
            <w:tcW w:w="3549" w:type="pct"/>
            <w:tcBorders>
              <w:top w:val="nil"/>
              <w:left w:val="nil"/>
              <w:bottom w:val="single" w:color="auto" w:sz="8" w:space="0"/>
              <w:right w:val="single" w:color="auto" w:sz="8" w:space="0"/>
            </w:tcBorders>
            <w:shd w:val="clear" w:color="auto" w:fill="auto"/>
            <w:vAlign w:val="center"/>
          </w:tcPr>
          <w:p w14:paraId="02317C61">
            <w:pPr>
              <w:pStyle w:val="20"/>
            </w:pPr>
            <w:r>
              <w:rPr>
                <w:rFonts w:hint="eastAsia"/>
              </w:rPr>
              <w:t>以评标委员会认定的有效供应商的有效投标文件中的最低报价为基准价，其价格为满分。投标报价得分为(基准价／投标报价)×10。</w:t>
            </w:r>
          </w:p>
          <w:p w14:paraId="3F7D3B14">
            <w:pPr>
              <w:pStyle w:val="20"/>
            </w:pPr>
            <w:r>
              <w:rPr>
                <w:rFonts w:hint="eastAsia"/>
              </w:rPr>
              <w:t>根据《政府采购促进中小企业发展管理办法》（财库〔2020〕46号）第九条和《关于进一步加大政府采购支持中小企业力度的通知》（财库〔2022〕19号）的规定，本项目执行小微企业（监狱企业、残疾人福利性单位视同小微企业）价格扣除（10%）。</w:t>
            </w:r>
          </w:p>
          <w:p w14:paraId="56893442">
            <w:pPr>
              <w:pStyle w:val="20"/>
            </w:pPr>
            <w:r>
              <w:rPr>
                <w:rFonts w:hint="eastAsia"/>
              </w:rPr>
              <w:t>在磋商过程中，磋商小组认为供应商报价明显低于其他通过符合性审查供应商的报价，有可能影响产品质量或者不能诚信履约的，磋商小组应当要求其在合理的时间内进行书面说明，必要时提交相关证明材料。供应商提交的书面说明，应当加盖供应商公章，在磋商小组要求的时间内提交，否则视为不能证明其响应报价合理性。供应商不能证明其响应报价合理性的，磋商小组应当将其响应文件作为无效处理。（注：供应商报价低于最高限价50%或者低于其他有效供应商报价算术平均价40%的，磋商小组可以认为该供应商“报价明显低于其他实质性响应的供应商报价”。）</w:t>
            </w:r>
          </w:p>
        </w:tc>
      </w:tr>
      <w:tr w14:paraId="530C595C">
        <w:tblPrEx>
          <w:tblCellMar>
            <w:top w:w="0" w:type="dxa"/>
            <w:left w:w="108" w:type="dxa"/>
            <w:bottom w:w="0" w:type="dxa"/>
            <w:right w:w="108" w:type="dxa"/>
          </w:tblCellMar>
        </w:tblPrEx>
        <w:trPr>
          <w:trHeight w:val="270" w:hRule="atLeast"/>
        </w:trPr>
        <w:tc>
          <w:tcPr>
            <w:tcW w:w="432" w:type="pct"/>
            <w:tcBorders>
              <w:top w:val="nil"/>
              <w:left w:val="single" w:color="auto" w:sz="8" w:space="0"/>
              <w:bottom w:val="nil"/>
              <w:right w:val="single" w:color="auto" w:sz="8" w:space="0"/>
            </w:tcBorders>
            <w:shd w:val="clear" w:color="auto" w:fill="auto"/>
            <w:vAlign w:val="center"/>
          </w:tcPr>
          <w:p w14:paraId="5CF0B135">
            <w:pPr>
              <w:pStyle w:val="20"/>
            </w:pPr>
            <w:r>
              <w:rPr>
                <w:rFonts w:hint="eastAsia"/>
              </w:rPr>
              <w:t>2</w:t>
            </w:r>
          </w:p>
        </w:tc>
        <w:tc>
          <w:tcPr>
            <w:tcW w:w="656" w:type="pct"/>
            <w:tcBorders>
              <w:top w:val="nil"/>
              <w:left w:val="nil"/>
              <w:bottom w:val="nil"/>
              <w:right w:val="single" w:color="auto" w:sz="8" w:space="0"/>
            </w:tcBorders>
            <w:shd w:val="clear" w:color="auto" w:fill="auto"/>
            <w:vAlign w:val="center"/>
          </w:tcPr>
          <w:p w14:paraId="18CB1FF7">
            <w:pPr>
              <w:pStyle w:val="20"/>
            </w:pPr>
            <w:r>
              <w:rPr>
                <w:rFonts w:hint="eastAsia"/>
              </w:rPr>
              <w:t>类似业绩</w:t>
            </w:r>
          </w:p>
        </w:tc>
        <w:tc>
          <w:tcPr>
            <w:tcW w:w="363" w:type="pct"/>
            <w:tcBorders>
              <w:top w:val="nil"/>
              <w:left w:val="nil"/>
              <w:bottom w:val="nil"/>
              <w:right w:val="single" w:color="auto" w:sz="8" w:space="0"/>
            </w:tcBorders>
            <w:shd w:val="clear" w:color="auto" w:fill="auto"/>
            <w:vAlign w:val="center"/>
          </w:tcPr>
          <w:p w14:paraId="4395F4D0">
            <w:pPr>
              <w:pStyle w:val="20"/>
            </w:pPr>
            <w:r>
              <w:rPr>
                <w:rFonts w:hint="eastAsia"/>
              </w:rPr>
              <w:t>15</w:t>
            </w:r>
          </w:p>
        </w:tc>
        <w:tc>
          <w:tcPr>
            <w:tcW w:w="3549" w:type="pct"/>
            <w:tcBorders>
              <w:top w:val="nil"/>
              <w:left w:val="nil"/>
              <w:bottom w:val="nil"/>
              <w:right w:val="single" w:color="auto" w:sz="8" w:space="0"/>
            </w:tcBorders>
            <w:shd w:val="clear" w:color="auto" w:fill="auto"/>
            <w:vAlign w:val="center"/>
          </w:tcPr>
          <w:p w14:paraId="6ADD9E3C">
            <w:pPr>
              <w:pStyle w:val="20"/>
            </w:pPr>
            <w:r>
              <w:rPr>
                <w:rFonts w:hint="eastAsia"/>
              </w:rPr>
              <w:t>供应商提供近三年以来的类似业绩，每提供1个得3分，最多得15分。</w:t>
            </w:r>
          </w:p>
        </w:tc>
      </w:tr>
      <w:tr w14:paraId="2F2C43A9">
        <w:tblPrEx>
          <w:tblCellMar>
            <w:top w:w="0" w:type="dxa"/>
            <w:left w:w="108" w:type="dxa"/>
            <w:bottom w:w="0" w:type="dxa"/>
            <w:right w:w="108" w:type="dxa"/>
          </w:tblCellMar>
        </w:tblPrEx>
        <w:trPr>
          <w:trHeight w:val="765" w:hRule="atLeast"/>
        </w:trPr>
        <w:tc>
          <w:tcPr>
            <w:tcW w:w="432"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BCCF81D">
            <w:pPr>
              <w:pStyle w:val="20"/>
            </w:pPr>
            <w:r>
              <w:rPr>
                <w:rFonts w:hint="eastAsia"/>
              </w:rPr>
              <w:t>3</w:t>
            </w:r>
          </w:p>
        </w:tc>
        <w:tc>
          <w:tcPr>
            <w:tcW w:w="656"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1573446">
            <w:pPr>
              <w:pStyle w:val="20"/>
            </w:pPr>
            <w:r>
              <w:rPr>
                <w:rFonts w:hint="eastAsia"/>
              </w:rPr>
              <w:t>履约能力</w:t>
            </w:r>
          </w:p>
        </w:tc>
        <w:tc>
          <w:tcPr>
            <w:tcW w:w="363"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97D1CB3">
            <w:pPr>
              <w:pStyle w:val="20"/>
            </w:pPr>
            <w:r>
              <w:rPr>
                <w:rFonts w:hint="eastAsia"/>
              </w:rPr>
              <w:t>43</w:t>
            </w:r>
          </w:p>
        </w:tc>
        <w:tc>
          <w:tcPr>
            <w:tcW w:w="3549" w:type="pct"/>
            <w:tcBorders>
              <w:top w:val="single" w:color="auto" w:sz="4" w:space="0"/>
              <w:left w:val="nil"/>
              <w:bottom w:val="single" w:color="auto" w:sz="4" w:space="0"/>
              <w:right w:val="single" w:color="auto" w:sz="4" w:space="0"/>
            </w:tcBorders>
            <w:shd w:val="clear" w:color="auto" w:fill="auto"/>
            <w:vAlign w:val="center"/>
          </w:tcPr>
          <w:p w14:paraId="3FC2CC81">
            <w:pPr>
              <w:pStyle w:val="20"/>
            </w:pPr>
            <w:r>
              <w:rPr>
                <w:rFonts w:hint="eastAsia"/>
              </w:rPr>
              <w:t>1.供应商具有中国网络安全审查技术与认证中心的《信息安全风险评估服务资质》、《信息系统安全集成服务资质》、《信息系统安全运维服务资质》和《信息安全应急处理》，每具备1个服务资质得3分，最多得12分；（提供证明材料，加盖供应商鲜章）</w:t>
            </w:r>
          </w:p>
        </w:tc>
      </w:tr>
      <w:tr w14:paraId="315C5F94">
        <w:tblPrEx>
          <w:tblCellMar>
            <w:top w:w="0" w:type="dxa"/>
            <w:left w:w="108" w:type="dxa"/>
            <w:bottom w:w="0" w:type="dxa"/>
            <w:right w:w="108" w:type="dxa"/>
          </w:tblCellMar>
        </w:tblPrEx>
        <w:trPr>
          <w:trHeight w:val="765" w:hRule="atLeast"/>
        </w:trPr>
        <w:tc>
          <w:tcPr>
            <w:tcW w:w="432" w:type="pct"/>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491CF1A3">
            <w:pPr>
              <w:pStyle w:val="20"/>
            </w:pPr>
          </w:p>
        </w:tc>
        <w:tc>
          <w:tcPr>
            <w:tcW w:w="656" w:type="pct"/>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766EDFD1">
            <w:pPr>
              <w:pStyle w:val="20"/>
            </w:pPr>
          </w:p>
        </w:tc>
        <w:tc>
          <w:tcPr>
            <w:tcW w:w="363" w:type="pct"/>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168D3A75">
            <w:pPr>
              <w:pStyle w:val="20"/>
            </w:pPr>
          </w:p>
        </w:tc>
        <w:tc>
          <w:tcPr>
            <w:tcW w:w="3549" w:type="pct"/>
            <w:tcBorders>
              <w:top w:val="single" w:color="auto" w:sz="4" w:space="0"/>
              <w:left w:val="nil"/>
              <w:bottom w:val="single" w:color="auto" w:sz="4" w:space="0"/>
              <w:right w:val="single" w:color="auto" w:sz="4" w:space="0"/>
            </w:tcBorders>
            <w:shd w:val="clear" w:color="auto" w:fill="auto"/>
            <w:vAlign w:val="center"/>
          </w:tcPr>
          <w:p w14:paraId="430852C6">
            <w:pPr>
              <w:pStyle w:val="20"/>
            </w:pPr>
            <w:r>
              <w:rPr>
                <w:rFonts w:hint="eastAsia"/>
              </w:rPr>
              <w:t>2.供应商具有质量管理体系认证证书（认证范围含网络安全技术服务）、环境管理体系认证证书（认证范围含网络安全技术服务）、职业健康安全管理体系认证证书（认证范围含网络安全技术服务）、信息安全管理体系认证证书（认证范围含网络安全技术服务）和信息技术服务管理体系认证证书（认证范围含计算机软硬件运维服务方向），每具备1个认证证书得3分，最多得15分；（提供证明材料，加盖供应商鲜章）</w:t>
            </w:r>
          </w:p>
        </w:tc>
      </w:tr>
      <w:tr w14:paraId="7504BC70">
        <w:tblPrEx>
          <w:tblCellMar>
            <w:top w:w="0" w:type="dxa"/>
            <w:left w:w="108" w:type="dxa"/>
            <w:bottom w:w="0" w:type="dxa"/>
            <w:right w:w="108" w:type="dxa"/>
          </w:tblCellMar>
        </w:tblPrEx>
        <w:trPr>
          <w:trHeight w:val="270" w:hRule="atLeast"/>
        </w:trPr>
        <w:tc>
          <w:tcPr>
            <w:tcW w:w="432" w:type="pct"/>
            <w:vMerge w:val="continue"/>
            <w:tcBorders>
              <w:top w:val="single" w:color="auto" w:sz="4" w:space="0"/>
              <w:left w:val="single" w:color="auto" w:sz="4" w:space="0"/>
              <w:bottom w:val="single" w:color="000000" w:sz="4" w:space="0"/>
              <w:right w:val="single" w:color="auto" w:sz="4" w:space="0"/>
            </w:tcBorders>
            <w:vAlign w:val="center"/>
          </w:tcPr>
          <w:p w14:paraId="502C7938">
            <w:pPr>
              <w:pStyle w:val="20"/>
            </w:pPr>
          </w:p>
        </w:tc>
        <w:tc>
          <w:tcPr>
            <w:tcW w:w="656" w:type="pct"/>
            <w:vMerge w:val="continue"/>
            <w:tcBorders>
              <w:top w:val="single" w:color="auto" w:sz="4" w:space="0"/>
              <w:left w:val="single" w:color="auto" w:sz="4" w:space="0"/>
              <w:bottom w:val="single" w:color="000000" w:sz="4" w:space="0"/>
              <w:right w:val="single" w:color="auto" w:sz="4" w:space="0"/>
            </w:tcBorders>
            <w:vAlign w:val="center"/>
          </w:tcPr>
          <w:p w14:paraId="5533367B">
            <w:pPr>
              <w:pStyle w:val="20"/>
            </w:pPr>
          </w:p>
        </w:tc>
        <w:tc>
          <w:tcPr>
            <w:tcW w:w="363" w:type="pct"/>
            <w:vMerge w:val="continue"/>
            <w:tcBorders>
              <w:top w:val="single" w:color="auto" w:sz="4" w:space="0"/>
              <w:left w:val="single" w:color="auto" w:sz="4" w:space="0"/>
              <w:bottom w:val="single" w:color="000000" w:sz="4" w:space="0"/>
              <w:right w:val="single" w:color="auto" w:sz="4" w:space="0"/>
            </w:tcBorders>
            <w:vAlign w:val="center"/>
          </w:tcPr>
          <w:p w14:paraId="28BDDE0F">
            <w:pPr>
              <w:pStyle w:val="20"/>
            </w:pPr>
          </w:p>
        </w:tc>
        <w:tc>
          <w:tcPr>
            <w:tcW w:w="3549" w:type="pct"/>
            <w:tcBorders>
              <w:top w:val="nil"/>
              <w:left w:val="nil"/>
              <w:bottom w:val="single" w:color="auto" w:sz="4" w:space="0"/>
              <w:right w:val="single" w:color="auto" w:sz="4" w:space="0"/>
            </w:tcBorders>
            <w:shd w:val="clear" w:color="auto" w:fill="auto"/>
            <w:vAlign w:val="center"/>
          </w:tcPr>
          <w:p w14:paraId="5A7EBFAC">
            <w:pPr>
              <w:pStyle w:val="20"/>
            </w:pPr>
            <w:r>
              <w:rPr>
                <w:rFonts w:hint="eastAsia"/>
              </w:rPr>
              <w:t>3.供应商具有近三年来，具有地（市州）级及以上攻防演练经验，每具有一次攻防演练经验得3分，最多得12分；（提供证明材料，加盖供应商鲜章）</w:t>
            </w:r>
          </w:p>
          <w:p w14:paraId="16FCA2F8">
            <w:pPr>
              <w:pStyle w:val="20"/>
            </w:pPr>
            <w:r>
              <w:rPr>
                <w:rFonts w:hint="eastAsia"/>
              </w:rPr>
              <w:t>4.供应商近3年参与过重大活动网络安全保障任务，参与过以下任意1次重大活动网络安全保障任务(重大活动网络安全保障任务如冬季奥林匹克运动会、世界大学生运动会、亚洲运动会、G20金融峰会、一带一路国际合作高峰论坛等）得4分，不满足不得分。（提供证明材料，加盖供应商鲜章）</w:t>
            </w:r>
          </w:p>
        </w:tc>
      </w:tr>
      <w:tr w14:paraId="6608834B">
        <w:tblPrEx>
          <w:tblCellMar>
            <w:top w:w="0" w:type="dxa"/>
            <w:left w:w="108" w:type="dxa"/>
            <w:bottom w:w="0" w:type="dxa"/>
            <w:right w:w="108" w:type="dxa"/>
          </w:tblCellMar>
        </w:tblPrEx>
        <w:trPr>
          <w:trHeight w:val="1050" w:hRule="atLeast"/>
        </w:trPr>
        <w:tc>
          <w:tcPr>
            <w:tcW w:w="432" w:type="pct"/>
            <w:vMerge w:val="restart"/>
            <w:tcBorders>
              <w:top w:val="nil"/>
              <w:left w:val="single" w:color="auto" w:sz="4" w:space="0"/>
              <w:bottom w:val="single" w:color="000000" w:sz="4" w:space="0"/>
              <w:right w:val="single" w:color="auto" w:sz="4" w:space="0"/>
            </w:tcBorders>
            <w:shd w:val="clear" w:color="auto" w:fill="auto"/>
            <w:vAlign w:val="center"/>
          </w:tcPr>
          <w:p w14:paraId="51BE054E">
            <w:pPr>
              <w:pStyle w:val="20"/>
            </w:pPr>
            <w:r>
              <w:rPr>
                <w:rFonts w:hint="eastAsia"/>
              </w:rPr>
              <w:t>4</w:t>
            </w:r>
          </w:p>
        </w:tc>
        <w:tc>
          <w:tcPr>
            <w:tcW w:w="656" w:type="pct"/>
            <w:vMerge w:val="restart"/>
            <w:tcBorders>
              <w:top w:val="nil"/>
              <w:left w:val="single" w:color="auto" w:sz="4" w:space="0"/>
              <w:bottom w:val="single" w:color="000000" w:sz="4" w:space="0"/>
              <w:right w:val="single" w:color="auto" w:sz="4" w:space="0"/>
            </w:tcBorders>
            <w:shd w:val="clear" w:color="auto" w:fill="auto"/>
            <w:vAlign w:val="center"/>
          </w:tcPr>
          <w:p w14:paraId="01DE5B7B">
            <w:pPr>
              <w:pStyle w:val="20"/>
            </w:pPr>
            <w:r>
              <w:rPr>
                <w:rFonts w:hint="eastAsia"/>
              </w:rPr>
              <w:t>服务团队</w:t>
            </w:r>
          </w:p>
        </w:tc>
        <w:tc>
          <w:tcPr>
            <w:tcW w:w="363" w:type="pct"/>
            <w:vMerge w:val="restart"/>
            <w:tcBorders>
              <w:top w:val="nil"/>
              <w:left w:val="single" w:color="auto" w:sz="4" w:space="0"/>
              <w:bottom w:val="single" w:color="000000" w:sz="4" w:space="0"/>
              <w:right w:val="single" w:color="auto" w:sz="4" w:space="0"/>
            </w:tcBorders>
            <w:shd w:val="clear" w:color="auto" w:fill="auto"/>
            <w:vAlign w:val="center"/>
          </w:tcPr>
          <w:p w14:paraId="4A681E80">
            <w:pPr>
              <w:pStyle w:val="20"/>
            </w:pPr>
            <w:r>
              <w:rPr>
                <w:rFonts w:hint="eastAsia"/>
              </w:rPr>
              <w:t>26</w:t>
            </w:r>
          </w:p>
        </w:tc>
        <w:tc>
          <w:tcPr>
            <w:tcW w:w="3549" w:type="pct"/>
            <w:tcBorders>
              <w:top w:val="nil"/>
              <w:left w:val="nil"/>
              <w:bottom w:val="single" w:color="auto" w:sz="4" w:space="0"/>
              <w:right w:val="single" w:color="auto" w:sz="4" w:space="0"/>
            </w:tcBorders>
            <w:shd w:val="clear" w:color="auto" w:fill="auto"/>
            <w:vAlign w:val="center"/>
          </w:tcPr>
          <w:p w14:paraId="176703C6">
            <w:pPr>
              <w:pStyle w:val="20"/>
            </w:pPr>
            <w:r>
              <w:rPr>
                <w:rFonts w:hint="eastAsia"/>
              </w:rPr>
              <w:t>1.供应商拟派驻本项目的项目经理（1人），具有信息系统项目管理师（软考高级）认证证书、网络工程师（软考中级）认证证书、信息安全保障人员认证证书(CISAW）风险管理和注册信息安全管理人员（CISO）认证证书，每提供一个认证证书得2分，最多得8分；（提供证明材料，加盖供应商鲜章）</w:t>
            </w:r>
          </w:p>
        </w:tc>
      </w:tr>
      <w:tr w14:paraId="0C68ADE2">
        <w:tblPrEx>
          <w:tblCellMar>
            <w:top w:w="0" w:type="dxa"/>
            <w:left w:w="108" w:type="dxa"/>
            <w:bottom w:w="0" w:type="dxa"/>
            <w:right w:w="108" w:type="dxa"/>
          </w:tblCellMar>
        </w:tblPrEx>
        <w:trPr>
          <w:trHeight w:val="870" w:hRule="atLeast"/>
        </w:trPr>
        <w:tc>
          <w:tcPr>
            <w:tcW w:w="432" w:type="pct"/>
            <w:vMerge w:val="continue"/>
            <w:tcBorders>
              <w:top w:val="nil"/>
              <w:left w:val="single" w:color="auto" w:sz="4" w:space="0"/>
              <w:bottom w:val="single" w:color="000000" w:sz="4" w:space="0"/>
              <w:right w:val="single" w:color="auto" w:sz="4" w:space="0"/>
            </w:tcBorders>
            <w:vAlign w:val="center"/>
          </w:tcPr>
          <w:p w14:paraId="1C20832C">
            <w:pPr>
              <w:pStyle w:val="20"/>
            </w:pPr>
          </w:p>
        </w:tc>
        <w:tc>
          <w:tcPr>
            <w:tcW w:w="656" w:type="pct"/>
            <w:vMerge w:val="continue"/>
            <w:tcBorders>
              <w:top w:val="nil"/>
              <w:left w:val="single" w:color="auto" w:sz="4" w:space="0"/>
              <w:bottom w:val="single" w:color="000000" w:sz="4" w:space="0"/>
              <w:right w:val="single" w:color="auto" w:sz="4" w:space="0"/>
            </w:tcBorders>
            <w:vAlign w:val="center"/>
          </w:tcPr>
          <w:p w14:paraId="2655023B">
            <w:pPr>
              <w:pStyle w:val="20"/>
            </w:pPr>
          </w:p>
        </w:tc>
        <w:tc>
          <w:tcPr>
            <w:tcW w:w="363" w:type="pct"/>
            <w:vMerge w:val="continue"/>
            <w:tcBorders>
              <w:top w:val="nil"/>
              <w:left w:val="single" w:color="auto" w:sz="4" w:space="0"/>
              <w:bottom w:val="single" w:color="000000" w:sz="4" w:space="0"/>
              <w:right w:val="single" w:color="auto" w:sz="4" w:space="0"/>
            </w:tcBorders>
            <w:vAlign w:val="center"/>
          </w:tcPr>
          <w:p w14:paraId="264363B5">
            <w:pPr>
              <w:pStyle w:val="20"/>
            </w:pPr>
          </w:p>
        </w:tc>
        <w:tc>
          <w:tcPr>
            <w:tcW w:w="3549" w:type="pct"/>
            <w:tcBorders>
              <w:top w:val="nil"/>
              <w:left w:val="nil"/>
              <w:bottom w:val="single" w:color="auto" w:sz="4" w:space="0"/>
              <w:right w:val="single" w:color="auto" w:sz="4" w:space="0"/>
            </w:tcBorders>
            <w:shd w:val="clear" w:color="auto" w:fill="auto"/>
            <w:vAlign w:val="center"/>
          </w:tcPr>
          <w:p w14:paraId="0254DB2B">
            <w:pPr>
              <w:pStyle w:val="20"/>
            </w:pPr>
            <w:r>
              <w:rPr>
                <w:rFonts w:hint="eastAsia"/>
              </w:rPr>
              <w:t>2.供应商拟派驻本项目的技术负责人（1人），具有信息安全保障人员认证证书(CISAW安全运维）、信息安全保障人员认证证书(CISAW风险管理）、注册信息安全管理人员认证证书（CISO）、注册渗透测试工程师认证证书(CISP-PTE)和信息安全工程师（软考中级）认证证书，每提供一个认证证书得2分，最多得10分；（提供证明材料，加盖供应商鲜章）</w:t>
            </w:r>
          </w:p>
        </w:tc>
      </w:tr>
      <w:tr w14:paraId="394B1C42">
        <w:tblPrEx>
          <w:tblCellMar>
            <w:top w:w="0" w:type="dxa"/>
            <w:left w:w="108" w:type="dxa"/>
            <w:bottom w:w="0" w:type="dxa"/>
            <w:right w:w="108" w:type="dxa"/>
          </w:tblCellMar>
        </w:tblPrEx>
        <w:trPr>
          <w:trHeight w:val="855" w:hRule="atLeast"/>
        </w:trPr>
        <w:tc>
          <w:tcPr>
            <w:tcW w:w="432" w:type="pct"/>
            <w:vMerge w:val="continue"/>
            <w:tcBorders>
              <w:top w:val="nil"/>
              <w:left w:val="single" w:color="auto" w:sz="4" w:space="0"/>
              <w:bottom w:val="single" w:color="000000" w:sz="4" w:space="0"/>
              <w:right w:val="single" w:color="auto" w:sz="4" w:space="0"/>
            </w:tcBorders>
            <w:vAlign w:val="center"/>
          </w:tcPr>
          <w:p w14:paraId="26E35F7E">
            <w:pPr>
              <w:pStyle w:val="20"/>
            </w:pPr>
          </w:p>
        </w:tc>
        <w:tc>
          <w:tcPr>
            <w:tcW w:w="656" w:type="pct"/>
            <w:vMerge w:val="continue"/>
            <w:tcBorders>
              <w:top w:val="nil"/>
              <w:left w:val="single" w:color="auto" w:sz="4" w:space="0"/>
              <w:bottom w:val="single" w:color="000000" w:sz="4" w:space="0"/>
              <w:right w:val="single" w:color="auto" w:sz="4" w:space="0"/>
            </w:tcBorders>
            <w:vAlign w:val="center"/>
          </w:tcPr>
          <w:p w14:paraId="7BD32B91">
            <w:pPr>
              <w:pStyle w:val="20"/>
            </w:pPr>
          </w:p>
        </w:tc>
        <w:tc>
          <w:tcPr>
            <w:tcW w:w="363" w:type="pct"/>
            <w:vMerge w:val="continue"/>
            <w:tcBorders>
              <w:top w:val="nil"/>
              <w:left w:val="single" w:color="auto" w:sz="4" w:space="0"/>
              <w:bottom w:val="single" w:color="000000" w:sz="4" w:space="0"/>
              <w:right w:val="single" w:color="auto" w:sz="4" w:space="0"/>
            </w:tcBorders>
            <w:vAlign w:val="center"/>
          </w:tcPr>
          <w:p w14:paraId="6F3B6394">
            <w:pPr>
              <w:pStyle w:val="20"/>
            </w:pPr>
          </w:p>
        </w:tc>
        <w:tc>
          <w:tcPr>
            <w:tcW w:w="3549" w:type="pct"/>
            <w:tcBorders>
              <w:top w:val="nil"/>
              <w:left w:val="nil"/>
              <w:bottom w:val="single" w:color="auto" w:sz="4" w:space="0"/>
              <w:right w:val="single" w:color="auto" w:sz="4" w:space="0"/>
            </w:tcBorders>
            <w:shd w:val="clear" w:color="auto" w:fill="auto"/>
            <w:vAlign w:val="center"/>
          </w:tcPr>
          <w:p w14:paraId="54681DC6">
            <w:pPr>
              <w:pStyle w:val="20"/>
            </w:pPr>
            <w:r>
              <w:rPr>
                <w:rFonts w:hint="eastAsia"/>
              </w:rPr>
              <w:t>3.供应商拟派驻本项目的服务团队人员（项目经理和技术负责人除外），具有注册信息安全管理人员认证证书（CISO）、注册信息安全工程师认证证书（CISE）、注册渗透测试工程师认证证书(CISP-PTE)和注册数据安全治理专业人员认证证书（CISP-DSG），每提供一个认证证书得2分，最多得8分；（提供证明材料，加盖供应商鲜章。同一人员具有多个认证证书，按一个认证证书认定）</w:t>
            </w:r>
          </w:p>
        </w:tc>
      </w:tr>
      <w:tr w14:paraId="7D7E588A">
        <w:tblPrEx>
          <w:tblCellMar>
            <w:top w:w="0" w:type="dxa"/>
            <w:left w:w="108" w:type="dxa"/>
            <w:bottom w:w="0" w:type="dxa"/>
            <w:right w:w="108" w:type="dxa"/>
          </w:tblCellMar>
        </w:tblPrEx>
        <w:trPr>
          <w:trHeight w:val="270" w:hRule="atLeast"/>
        </w:trPr>
        <w:tc>
          <w:tcPr>
            <w:tcW w:w="432" w:type="pct"/>
            <w:vMerge w:val="continue"/>
            <w:tcBorders>
              <w:top w:val="nil"/>
              <w:left w:val="single" w:color="auto" w:sz="4" w:space="0"/>
              <w:bottom w:val="single" w:color="000000" w:sz="4" w:space="0"/>
              <w:right w:val="single" w:color="auto" w:sz="4" w:space="0"/>
            </w:tcBorders>
            <w:vAlign w:val="center"/>
          </w:tcPr>
          <w:p w14:paraId="1187D5F6">
            <w:pPr>
              <w:pStyle w:val="20"/>
            </w:pPr>
          </w:p>
        </w:tc>
        <w:tc>
          <w:tcPr>
            <w:tcW w:w="656" w:type="pct"/>
            <w:vMerge w:val="continue"/>
            <w:tcBorders>
              <w:top w:val="nil"/>
              <w:left w:val="single" w:color="auto" w:sz="4" w:space="0"/>
              <w:bottom w:val="single" w:color="000000" w:sz="4" w:space="0"/>
              <w:right w:val="single" w:color="auto" w:sz="4" w:space="0"/>
            </w:tcBorders>
            <w:vAlign w:val="center"/>
          </w:tcPr>
          <w:p w14:paraId="23280ADF">
            <w:pPr>
              <w:pStyle w:val="20"/>
            </w:pPr>
          </w:p>
        </w:tc>
        <w:tc>
          <w:tcPr>
            <w:tcW w:w="363" w:type="pct"/>
            <w:vMerge w:val="continue"/>
            <w:tcBorders>
              <w:top w:val="nil"/>
              <w:left w:val="single" w:color="auto" w:sz="4" w:space="0"/>
              <w:bottom w:val="single" w:color="000000" w:sz="4" w:space="0"/>
              <w:right w:val="single" w:color="auto" w:sz="4" w:space="0"/>
            </w:tcBorders>
            <w:vAlign w:val="center"/>
          </w:tcPr>
          <w:p w14:paraId="5235D1F2">
            <w:pPr>
              <w:pStyle w:val="20"/>
            </w:pPr>
          </w:p>
        </w:tc>
        <w:tc>
          <w:tcPr>
            <w:tcW w:w="3549" w:type="pct"/>
            <w:tcBorders>
              <w:top w:val="nil"/>
              <w:left w:val="nil"/>
              <w:bottom w:val="single" w:color="auto" w:sz="4" w:space="0"/>
              <w:right w:val="single" w:color="auto" w:sz="4" w:space="0"/>
            </w:tcBorders>
            <w:shd w:val="clear" w:color="auto" w:fill="auto"/>
            <w:vAlign w:val="center"/>
          </w:tcPr>
          <w:p w14:paraId="75C40EF2">
            <w:pPr>
              <w:pStyle w:val="20"/>
            </w:pPr>
            <w:r>
              <w:rPr>
                <w:rFonts w:hint="eastAsia"/>
              </w:rPr>
              <w:t>注：人员须提供在职证明材料，加盖供应商鲜章。</w:t>
            </w:r>
          </w:p>
        </w:tc>
      </w:tr>
      <w:tr w14:paraId="425B3672">
        <w:tblPrEx>
          <w:tblCellMar>
            <w:top w:w="0" w:type="dxa"/>
            <w:left w:w="108" w:type="dxa"/>
            <w:bottom w:w="0" w:type="dxa"/>
            <w:right w:w="108" w:type="dxa"/>
          </w:tblCellMar>
        </w:tblPrEx>
        <w:trPr>
          <w:trHeight w:val="765" w:hRule="atLeast"/>
        </w:trPr>
        <w:tc>
          <w:tcPr>
            <w:tcW w:w="432" w:type="pct"/>
            <w:tcBorders>
              <w:top w:val="nil"/>
              <w:left w:val="single" w:color="auto" w:sz="4" w:space="0"/>
              <w:bottom w:val="single" w:color="auto" w:sz="4" w:space="0"/>
              <w:right w:val="single" w:color="auto" w:sz="4" w:space="0"/>
            </w:tcBorders>
            <w:shd w:val="clear" w:color="auto" w:fill="auto"/>
            <w:vAlign w:val="center"/>
          </w:tcPr>
          <w:p w14:paraId="7317A56F">
            <w:pPr>
              <w:pStyle w:val="20"/>
            </w:pPr>
            <w:r>
              <w:rPr>
                <w:rFonts w:hint="eastAsia"/>
              </w:rPr>
              <w:t>5</w:t>
            </w:r>
          </w:p>
        </w:tc>
        <w:tc>
          <w:tcPr>
            <w:tcW w:w="656" w:type="pct"/>
            <w:tcBorders>
              <w:top w:val="nil"/>
              <w:left w:val="nil"/>
              <w:bottom w:val="single" w:color="auto" w:sz="4" w:space="0"/>
              <w:right w:val="single" w:color="auto" w:sz="4" w:space="0"/>
            </w:tcBorders>
            <w:shd w:val="clear" w:color="auto" w:fill="auto"/>
            <w:vAlign w:val="center"/>
          </w:tcPr>
          <w:p w14:paraId="6D32848A">
            <w:pPr>
              <w:pStyle w:val="20"/>
            </w:pPr>
            <w:r>
              <w:rPr>
                <w:rFonts w:hint="eastAsia"/>
              </w:rPr>
              <w:t>服务方案</w:t>
            </w:r>
          </w:p>
        </w:tc>
        <w:tc>
          <w:tcPr>
            <w:tcW w:w="363" w:type="pct"/>
            <w:tcBorders>
              <w:top w:val="nil"/>
              <w:left w:val="nil"/>
              <w:bottom w:val="single" w:color="auto" w:sz="4" w:space="0"/>
              <w:right w:val="single" w:color="auto" w:sz="4" w:space="0"/>
            </w:tcBorders>
            <w:shd w:val="clear" w:color="auto" w:fill="auto"/>
            <w:vAlign w:val="center"/>
          </w:tcPr>
          <w:p w14:paraId="46138DA8">
            <w:pPr>
              <w:pStyle w:val="20"/>
            </w:pPr>
            <w:r>
              <w:rPr>
                <w:rFonts w:hint="eastAsia"/>
              </w:rPr>
              <w:t>6</w:t>
            </w:r>
          </w:p>
        </w:tc>
        <w:tc>
          <w:tcPr>
            <w:tcW w:w="3549" w:type="pct"/>
            <w:tcBorders>
              <w:top w:val="nil"/>
              <w:left w:val="nil"/>
              <w:bottom w:val="single" w:color="auto" w:sz="4" w:space="0"/>
              <w:right w:val="single" w:color="auto" w:sz="4" w:space="0"/>
            </w:tcBorders>
            <w:shd w:val="clear" w:color="auto" w:fill="auto"/>
            <w:vAlign w:val="center"/>
          </w:tcPr>
          <w:p w14:paraId="772E32AE">
            <w:pPr>
              <w:pStyle w:val="20"/>
            </w:pPr>
            <w:r>
              <w:rPr>
                <w:rFonts w:hint="eastAsia"/>
              </w:rPr>
              <w:t>根据供应商提供的服务方案进行评分，包括但不限于①服务内容、②服务流程、③服务交付物、④服务计划、⑤服务工具、⑥服务承诺，全部内容完整有效的得6分，每有一项缺失扣1分；每有一处不满足招标文件要求或与整体服务方案矛盾或不符合实际情况或缺陷漏项或存在逻辑错误的扣0.5分，扣完为止。</w:t>
            </w:r>
          </w:p>
        </w:tc>
      </w:tr>
    </w:tbl>
    <w:p w14:paraId="72F28843">
      <w:pPr>
        <w:ind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851"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768EF">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4A6BE">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E5DF9">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B5AC2">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E92D7">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D7C6A">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pStyle w:val="13"/>
      <w:suff w:val="space"/>
      <w:lvlText w:val="%1. "/>
      <w:lvlJc w:val="left"/>
      <w:pPr>
        <w:ind w:left="907" w:hanging="907"/>
      </w:pPr>
      <w:rPr>
        <w:rFonts w:hint="eastAsia"/>
      </w:rPr>
    </w:lvl>
    <w:lvl w:ilvl="1" w:tentative="0">
      <w:start w:val="1"/>
      <w:numFmt w:val="decimal"/>
      <w:pStyle w:val="14"/>
      <w:isLgl/>
      <w:suff w:val="space"/>
      <w:lvlText w:val="%1.%2 "/>
      <w:lvlJc w:val="left"/>
      <w:pPr>
        <w:ind w:left="794" w:hanging="794"/>
      </w:pPr>
      <w:rPr>
        <w:rFonts w:hint="eastAsia"/>
      </w:rPr>
    </w:lvl>
    <w:lvl w:ilvl="2" w:tentative="0">
      <w:start w:val="1"/>
      <w:numFmt w:val="decimal"/>
      <w:pStyle w:val="15"/>
      <w:isLgl/>
      <w:suff w:val="space"/>
      <w:lvlText w:val="%1.%2.%3 "/>
      <w:lvlJc w:val="left"/>
      <w:pPr>
        <w:ind w:left="907" w:hanging="907"/>
      </w:pPr>
      <w:rPr>
        <w:rFonts w:hint="eastAsia"/>
      </w:rPr>
    </w:lvl>
    <w:lvl w:ilvl="3" w:tentative="0">
      <w:start w:val="1"/>
      <w:numFmt w:val="decimal"/>
      <w:pStyle w:val="31"/>
      <w:isLgl/>
      <w:suff w:val="space"/>
      <w:lvlText w:val="%1.%2.%3.%4 "/>
      <w:lvlJc w:val="left"/>
      <w:pPr>
        <w:ind w:left="1021" w:hanging="1021"/>
      </w:pPr>
      <w:rPr>
        <w:rFonts w:hint="eastAsia"/>
      </w:rPr>
    </w:lvl>
    <w:lvl w:ilvl="4" w:tentative="0">
      <w:start w:val="1"/>
      <w:numFmt w:val="decimal"/>
      <w:pStyle w:val="16"/>
      <w:isLgl/>
      <w:suff w:val="space"/>
      <w:lvlText w:val="%1.%2.%3.%4.%5 "/>
      <w:lvlJc w:val="left"/>
      <w:pPr>
        <w:ind w:left="1134" w:hanging="1134"/>
      </w:pPr>
      <w:rPr>
        <w:rFonts w:hint="eastAsia"/>
      </w:rPr>
    </w:lvl>
    <w:lvl w:ilvl="5" w:tentative="0">
      <w:start w:val="1"/>
      <w:numFmt w:val="decimal"/>
      <w:pStyle w:val="17"/>
      <w:isLgl/>
      <w:suff w:val="space"/>
      <w:lvlText w:val="%1.%2.%3.%4.%5.%6 "/>
      <w:lvlJc w:val="left"/>
      <w:pPr>
        <w:ind w:left="1247" w:hanging="1247"/>
      </w:pPr>
      <w:rPr>
        <w:rFonts w:hint="eastAsia"/>
      </w:rPr>
    </w:lvl>
    <w:lvl w:ilvl="6" w:tentative="0">
      <w:start w:val="1"/>
      <w:numFmt w:val="decimal"/>
      <w:lvlRestart w:val="1"/>
      <w:pStyle w:val="18"/>
      <w:isLgl/>
      <w:suff w:val="space"/>
      <w:lvlText w:val="图 %1.%7 "/>
      <w:lvlJc w:val="left"/>
      <w:pPr>
        <w:ind w:left="0" w:firstLine="0"/>
      </w:pPr>
      <w:rPr>
        <w:rFonts w:hint="eastAsia"/>
      </w:rPr>
    </w:lvl>
    <w:lvl w:ilvl="7" w:tentative="0">
      <w:start w:val="1"/>
      <w:numFmt w:val="decimal"/>
      <w:lvlRestart w:val="1"/>
      <w:pStyle w:val="19"/>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4MDYwNWQ5ZDJiMTU2OGE4MTFjYmZhYjI3YmZlYTEifQ=="/>
  </w:docVars>
  <w:rsids>
    <w:rsidRoot w:val="009E33A0"/>
    <w:rsid w:val="000D167A"/>
    <w:rsid w:val="000F4CEB"/>
    <w:rsid w:val="00145AC2"/>
    <w:rsid w:val="0024273B"/>
    <w:rsid w:val="00443B9C"/>
    <w:rsid w:val="00480B01"/>
    <w:rsid w:val="004955EB"/>
    <w:rsid w:val="004A7581"/>
    <w:rsid w:val="0053118F"/>
    <w:rsid w:val="0060015A"/>
    <w:rsid w:val="00762FA6"/>
    <w:rsid w:val="00764695"/>
    <w:rsid w:val="00880541"/>
    <w:rsid w:val="008E4C0C"/>
    <w:rsid w:val="009512D4"/>
    <w:rsid w:val="009E33A0"/>
    <w:rsid w:val="00A65E1F"/>
    <w:rsid w:val="00A77C96"/>
    <w:rsid w:val="00B31B40"/>
    <w:rsid w:val="00B91447"/>
    <w:rsid w:val="00BC411E"/>
    <w:rsid w:val="00C96D5B"/>
    <w:rsid w:val="00CC1546"/>
    <w:rsid w:val="00DB017F"/>
    <w:rsid w:val="00DD39D1"/>
    <w:rsid w:val="00E428A9"/>
    <w:rsid w:val="00EC0C54"/>
    <w:rsid w:val="00EC5C0B"/>
    <w:rsid w:val="00ED00C7"/>
    <w:rsid w:val="051554AC"/>
    <w:rsid w:val="13983E78"/>
    <w:rsid w:val="1D020BB1"/>
    <w:rsid w:val="528D20F2"/>
    <w:rsid w:val="58AE6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iPriority="9" w:semiHidden="0" w:name="heading 4"/>
    <w:lsdException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200" w:firstLineChars="200"/>
    </w:pPr>
    <w:rPr>
      <w:rFonts w:ascii="Arial" w:hAnsi="Arial" w:eastAsia="仿宋" w:cs="Times New Roman"/>
      <w:kern w:val="0"/>
      <w:sz w:val="28"/>
      <w:szCs w:val="21"/>
      <w:lang w:val="en-US" w:eastAsia="zh-CN" w:bidi="ar-SA"/>
      <w14:ligatures w14:val="none"/>
    </w:rPr>
  </w:style>
  <w:style w:type="paragraph" w:styleId="2">
    <w:name w:val="heading 1"/>
    <w:basedOn w:val="1"/>
    <w:next w:val="1"/>
    <w:link w:val="32"/>
    <w:qFormat/>
    <w:uiPriority w:val="9"/>
    <w:pPr>
      <w:keepNext/>
      <w:keepLines/>
      <w:spacing w:before="100" w:beforeAutospacing="1"/>
      <w:ind w:firstLine="0" w:firstLineChars="0"/>
      <w:outlineLvl w:val="0"/>
    </w:pPr>
    <w:rPr>
      <w:b/>
      <w:bCs/>
      <w:kern w:val="44"/>
      <w:sz w:val="32"/>
      <w:szCs w:val="44"/>
    </w:rPr>
  </w:style>
  <w:style w:type="paragraph" w:styleId="3">
    <w:name w:val="heading 2"/>
    <w:basedOn w:val="1"/>
    <w:next w:val="1"/>
    <w:link w:val="33"/>
    <w:unhideWhenUsed/>
    <w:qFormat/>
    <w:uiPriority w:val="9"/>
    <w:pPr>
      <w:keepNext/>
      <w:keepLines/>
      <w:spacing w:before="100" w:beforeAutospacing="1" w:after="100" w:afterAutospacing="1"/>
      <w:ind w:firstLine="0" w:firstLineChars="0"/>
      <w:outlineLvl w:val="1"/>
    </w:pPr>
    <w:rPr>
      <w:rFonts w:asciiTheme="majorHAnsi" w:hAnsiTheme="majorHAnsi" w:cstheme="majorBidi"/>
      <w:b/>
      <w:bCs/>
      <w:sz w:val="30"/>
      <w:szCs w:val="32"/>
    </w:rPr>
  </w:style>
  <w:style w:type="paragraph" w:styleId="4">
    <w:name w:val="heading 3"/>
    <w:basedOn w:val="1"/>
    <w:next w:val="1"/>
    <w:link w:val="34"/>
    <w:unhideWhenUsed/>
    <w:qFormat/>
    <w:uiPriority w:val="9"/>
    <w:pPr>
      <w:keepNext/>
      <w:keepLines/>
      <w:spacing w:before="100" w:beforeAutospacing="1" w:after="100" w:afterAutospacing="1" w:line="416" w:lineRule="atLeast"/>
      <w:ind w:firstLine="0" w:firstLineChars="0"/>
      <w:outlineLvl w:val="2"/>
    </w:pPr>
    <w:rPr>
      <w:b/>
      <w:bCs/>
      <w:szCs w:val="32"/>
    </w:rPr>
  </w:style>
  <w:style w:type="paragraph" w:styleId="5">
    <w:name w:val="heading 4"/>
    <w:basedOn w:val="1"/>
    <w:next w:val="1"/>
    <w:link w:val="11"/>
    <w:unhideWhenUsed/>
    <w:uiPriority w:val="9"/>
    <w:pPr>
      <w:keepNext/>
      <w:keepLines/>
      <w:outlineLvl w:val="3"/>
    </w:pPr>
    <w:rPr>
      <w:rFonts w:asciiTheme="majorHAnsi" w:hAnsiTheme="majorHAnsi" w:cstheme="majorBidi"/>
      <w:b/>
      <w:bCs/>
      <w:sz w:val="24"/>
      <w:szCs w:val="28"/>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6">
    <w:name w:val="footer"/>
    <w:basedOn w:val="1"/>
    <w:link w:val="37"/>
    <w:unhideWhenUsed/>
    <w:qFormat/>
    <w:uiPriority w:val="99"/>
    <w:pPr>
      <w:tabs>
        <w:tab w:val="center" w:pos="4153"/>
        <w:tab w:val="right" w:pos="8306"/>
      </w:tabs>
      <w:snapToGrid w:val="0"/>
      <w:spacing w:line="240" w:lineRule="auto"/>
    </w:pPr>
    <w:rPr>
      <w:sz w:val="18"/>
      <w:szCs w:val="18"/>
    </w:rPr>
  </w:style>
  <w:style w:type="paragraph" w:styleId="7">
    <w:name w:val="header"/>
    <w:basedOn w:val="1"/>
    <w:link w:val="36"/>
    <w:unhideWhenUsed/>
    <w:qFormat/>
    <w:uiPriority w:val="99"/>
    <w:pPr>
      <w:tabs>
        <w:tab w:val="center" w:pos="4153"/>
        <w:tab w:val="right" w:pos="8306"/>
      </w:tabs>
      <w:snapToGrid w:val="0"/>
      <w:spacing w:line="240" w:lineRule="auto"/>
      <w:jc w:val="center"/>
    </w:pPr>
    <w:rPr>
      <w:sz w:val="18"/>
      <w:szCs w:val="18"/>
    </w:rPr>
  </w:style>
  <w:style w:type="table" w:styleId="9">
    <w:name w:val="Table Grid"/>
    <w:basedOn w:val="8"/>
    <w:autoRedefine/>
    <w:qFormat/>
    <w:uiPriority w:val="39"/>
    <w:pPr>
      <w:jc w:val="both"/>
    </w:pPr>
    <w:rPr>
      <w:rFonts w:ascii="Times New Roman" w:hAnsi="Times New Roman" w:eastAsia="宋体" w:cs="Times New Roman"/>
      <w:kern w:val="0"/>
      <w:sz w:val="20"/>
      <w:szCs w:val="20"/>
      <w14:ligatures w14:val="none"/>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customStyle="1" w:styleId="11">
    <w:name w:val="标题 4 字符"/>
    <w:basedOn w:val="10"/>
    <w:link w:val="5"/>
    <w:uiPriority w:val="9"/>
    <w:rPr>
      <w:rFonts w:eastAsia="仿宋" w:asciiTheme="majorHAnsi" w:hAnsiTheme="majorHAnsi" w:cstheme="majorBidi"/>
      <w:b/>
      <w:bCs/>
      <w:sz w:val="24"/>
      <w:szCs w:val="28"/>
    </w:rPr>
  </w:style>
  <w:style w:type="paragraph" w:customStyle="1" w:styleId="12">
    <w:name w:val="正文首行缩进（非凡安全）"/>
    <w:basedOn w:val="1"/>
    <w:uiPriority w:val="0"/>
    <w:pPr>
      <w:spacing w:after="50" w:line="300" w:lineRule="auto"/>
    </w:pPr>
  </w:style>
  <w:style w:type="paragraph" w:customStyle="1" w:styleId="13">
    <w:name w:val="标题 1（非凡安全）"/>
    <w:basedOn w:val="2"/>
    <w:next w:val="12"/>
    <w:uiPriority w:val="0"/>
    <w:pPr>
      <w:widowControl w:val="0"/>
      <w:numPr>
        <w:ilvl w:val="0"/>
        <w:numId w:val="1"/>
      </w:numPr>
      <w:pBdr>
        <w:bottom w:val="single" w:color="auto" w:sz="48" w:space="1"/>
      </w:pBdr>
      <w:tabs>
        <w:tab w:val="left" w:pos="360"/>
        <w:tab w:val="left" w:pos="432"/>
      </w:tabs>
      <w:spacing w:before="600" w:line="576" w:lineRule="auto"/>
      <w:ind w:left="0" w:firstLine="0"/>
    </w:pPr>
    <w:rPr>
      <w:rFonts w:eastAsia="黑体"/>
    </w:rPr>
  </w:style>
  <w:style w:type="paragraph" w:customStyle="1" w:styleId="14">
    <w:name w:val="标题 2（非凡安全）"/>
    <w:basedOn w:val="3"/>
    <w:next w:val="12"/>
    <w:uiPriority w:val="0"/>
    <w:pPr>
      <w:widowControl w:val="0"/>
      <w:numPr>
        <w:ilvl w:val="1"/>
        <w:numId w:val="1"/>
      </w:numPr>
      <w:tabs>
        <w:tab w:val="left" w:pos="360"/>
        <w:tab w:val="left" w:pos="576"/>
      </w:tabs>
      <w:spacing w:line="415" w:lineRule="auto"/>
      <w:ind w:left="0" w:firstLine="0"/>
    </w:pPr>
    <w:rPr>
      <w:rFonts w:ascii="Arial" w:hAnsi="Arial" w:eastAsia="黑体" w:cs="Times New Roman"/>
      <w:bCs w:val="0"/>
      <w:kern w:val="2"/>
    </w:rPr>
  </w:style>
  <w:style w:type="paragraph" w:customStyle="1" w:styleId="15">
    <w:name w:val="标题 3（非凡安全）"/>
    <w:basedOn w:val="4"/>
    <w:next w:val="12"/>
    <w:uiPriority w:val="0"/>
    <w:pPr>
      <w:widowControl w:val="0"/>
      <w:numPr>
        <w:ilvl w:val="2"/>
        <w:numId w:val="1"/>
      </w:numPr>
      <w:tabs>
        <w:tab w:val="left" w:pos="360"/>
        <w:tab w:val="left" w:pos="720"/>
        <w:tab w:val="left" w:pos="960"/>
      </w:tabs>
      <w:spacing w:line="415" w:lineRule="auto"/>
      <w:ind w:left="0" w:firstLine="0"/>
    </w:pPr>
    <w:rPr>
      <w:rFonts w:eastAsia="黑体"/>
      <w:bCs w:val="0"/>
      <w:sz w:val="30"/>
      <w:szCs w:val="30"/>
    </w:rPr>
  </w:style>
  <w:style w:type="paragraph" w:customStyle="1" w:styleId="16">
    <w:name w:val="标题 5（有编号）（非凡安全）"/>
    <w:basedOn w:val="1"/>
    <w:next w:val="12"/>
    <w:uiPriority w:val="0"/>
    <w:pPr>
      <w:keepNext/>
      <w:keepLines/>
      <w:widowControl w:val="0"/>
      <w:numPr>
        <w:ilvl w:val="4"/>
        <w:numId w:val="1"/>
      </w:numPr>
      <w:spacing w:before="280" w:after="156" w:line="377" w:lineRule="auto"/>
      <w:outlineLvl w:val="4"/>
    </w:pPr>
    <w:rPr>
      <w:rFonts w:eastAsia="黑体"/>
      <w:b/>
      <w:sz w:val="24"/>
      <w:szCs w:val="28"/>
    </w:rPr>
  </w:style>
  <w:style w:type="paragraph" w:customStyle="1" w:styleId="17">
    <w:name w:val="标题 6（有编号）（非凡安全）"/>
    <w:basedOn w:val="1"/>
    <w:next w:val="12"/>
    <w:uiPriority w:val="0"/>
    <w:pPr>
      <w:keepNext/>
      <w:keepLines/>
      <w:widowControl w:val="0"/>
      <w:numPr>
        <w:ilvl w:val="5"/>
        <w:numId w:val="1"/>
      </w:numPr>
      <w:spacing w:before="240" w:after="64" w:line="319" w:lineRule="auto"/>
      <w:outlineLvl w:val="5"/>
    </w:pPr>
    <w:rPr>
      <w:rFonts w:eastAsia="黑体"/>
      <w:b/>
      <w:szCs w:val="24"/>
    </w:rPr>
  </w:style>
  <w:style w:type="paragraph" w:customStyle="1" w:styleId="18">
    <w:name w:val="插图标注（非凡安全）"/>
    <w:next w:val="1"/>
    <w:uiPriority w:val="0"/>
    <w:pPr>
      <w:numPr>
        <w:ilvl w:val="6"/>
        <w:numId w:val="1"/>
      </w:numPr>
      <w:spacing w:after="156"/>
      <w:jc w:val="center"/>
    </w:pPr>
    <w:rPr>
      <w:rFonts w:ascii="Arial" w:hAnsi="Arial" w:eastAsia="宋体" w:cs="Arial"/>
      <w:kern w:val="0"/>
      <w:sz w:val="21"/>
      <w:szCs w:val="21"/>
      <w:lang w:val="en-US" w:eastAsia="zh-CN" w:bidi="ar-SA"/>
      <w14:ligatures w14:val="none"/>
    </w:rPr>
  </w:style>
  <w:style w:type="paragraph" w:customStyle="1" w:styleId="19">
    <w:name w:val="表格标注（非凡安全）"/>
    <w:basedOn w:val="18"/>
    <w:next w:val="1"/>
    <w:uiPriority w:val="0"/>
    <w:pPr>
      <w:numPr>
        <w:ilvl w:val="7"/>
      </w:numPr>
    </w:pPr>
  </w:style>
  <w:style w:type="paragraph" w:customStyle="1" w:styleId="20">
    <w:name w:val="表格小五"/>
    <w:basedOn w:val="1"/>
    <w:link w:val="22"/>
    <w:qFormat/>
    <w:uiPriority w:val="0"/>
    <w:pPr>
      <w:spacing w:line="240" w:lineRule="auto"/>
      <w:ind w:firstLine="0" w:firstLineChars="0"/>
    </w:pPr>
    <w:rPr>
      <w:sz w:val="24"/>
      <w:szCs w:val="18"/>
    </w:rPr>
  </w:style>
  <w:style w:type="paragraph" w:customStyle="1" w:styleId="21">
    <w:name w:val="表格标题小五"/>
    <w:basedOn w:val="1"/>
    <w:link w:val="23"/>
    <w:uiPriority w:val="0"/>
    <w:pPr>
      <w:spacing w:line="300" w:lineRule="auto"/>
      <w:jc w:val="center"/>
    </w:pPr>
    <w:rPr>
      <w:b/>
      <w:sz w:val="18"/>
      <w:szCs w:val="18"/>
    </w:rPr>
  </w:style>
  <w:style w:type="character" w:customStyle="1" w:styleId="22">
    <w:name w:val="表格小五 字符"/>
    <w:basedOn w:val="10"/>
    <w:link w:val="20"/>
    <w:qFormat/>
    <w:uiPriority w:val="0"/>
    <w:rPr>
      <w:rFonts w:ascii="Arial" w:hAnsi="Arial" w:eastAsia="仿宋" w:cs="Times New Roman"/>
      <w:kern w:val="0"/>
      <w:sz w:val="24"/>
      <w:szCs w:val="18"/>
      <w14:ligatures w14:val="none"/>
    </w:rPr>
  </w:style>
  <w:style w:type="character" w:customStyle="1" w:styleId="23">
    <w:name w:val="表格标题小五 字符"/>
    <w:basedOn w:val="10"/>
    <w:link w:val="21"/>
    <w:qFormat/>
    <w:uiPriority w:val="0"/>
    <w:rPr>
      <w:rFonts w:ascii="Arial" w:hAnsi="Arial" w:eastAsia="宋体" w:cs="Times New Roman"/>
      <w:b/>
      <w:kern w:val="0"/>
      <w:sz w:val="18"/>
      <w:szCs w:val="18"/>
      <w14:ligatures w14:val="none"/>
    </w:rPr>
  </w:style>
  <w:style w:type="paragraph" w:customStyle="1" w:styleId="24">
    <w:name w:val="正文首行缩进1"/>
    <w:basedOn w:val="1"/>
    <w:link w:val="29"/>
    <w:uiPriority w:val="0"/>
    <w:pPr>
      <w:spacing w:after="50"/>
    </w:pPr>
  </w:style>
  <w:style w:type="paragraph" w:customStyle="1" w:styleId="25">
    <w:name w:val="列表（符号一级）"/>
    <w:basedOn w:val="1"/>
    <w:uiPriority w:val="0"/>
    <w:pPr>
      <w:spacing w:line="300" w:lineRule="auto"/>
      <w:ind w:left="420" w:hanging="420"/>
    </w:pPr>
    <w:rPr>
      <w:b/>
    </w:rPr>
  </w:style>
  <w:style w:type="paragraph" w:customStyle="1" w:styleId="26">
    <w:name w:val="列表（符号二级）"/>
    <w:basedOn w:val="25"/>
    <w:uiPriority w:val="0"/>
    <w:rPr>
      <w:b w:val="0"/>
    </w:rPr>
  </w:style>
  <w:style w:type="table" w:customStyle="1" w:styleId="27">
    <w:name w:val="文档表格无标题列型（FF）"/>
    <w:basedOn w:val="9"/>
    <w:qFormat/>
    <w:uiPriority w:val="0"/>
    <w:rPr>
      <w:sz w:val="18"/>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cPr>
      <w:vAlign w:val="center"/>
    </w:tcPr>
    <w:tblStylePr w:type="firstRow">
      <w:pPr>
        <w:wordWrap/>
        <w:spacing w:line="300" w:lineRule="auto"/>
        <w:jc w:val="center"/>
      </w:pPr>
      <w:rPr>
        <w:rFonts w:ascii="Arial" w:hAnsi="Arial" w:eastAsia="宋体"/>
        <w:b w:val="0"/>
        <w:i w:val="0"/>
        <w:sz w:val="18"/>
      </w:rPr>
      <w:tcPr>
        <w:shd w:val="clear" w:color="auto" w:fill="D6DCE4" w:themeFill="text2" w:themeFillTint="33"/>
        <w:vAlign w:val="center"/>
      </w:tcPr>
    </w:tblStylePr>
    <w:tblStylePr w:type="firstCol">
      <w:rPr>
        <w:rFonts w:ascii="Arial" w:hAnsi="Arial" w:eastAsia="宋体"/>
        <w:b w:val="0"/>
        <w:i w:val="0"/>
        <w:sz w:val="21"/>
      </w:rPr>
    </w:tblStylePr>
  </w:style>
  <w:style w:type="character" w:customStyle="1" w:styleId="28">
    <w:name w:val="正文（要点） 字符"/>
    <w:basedOn w:val="29"/>
    <w:link w:val="30"/>
    <w:qFormat/>
    <w:uiPriority w:val="0"/>
    <w:rPr>
      <w:rFonts w:ascii="Arial" w:hAnsi="Arial" w:eastAsia="宋体" w:cs="Times New Roman"/>
      <w:b/>
      <w:kern w:val="0"/>
      <w:szCs w:val="21"/>
      <w14:ligatures w14:val="none"/>
    </w:rPr>
  </w:style>
  <w:style w:type="character" w:customStyle="1" w:styleId="29">
    <w:name w:val="正文首行缩进 字符"/>
    <w:basedOn w:val="10"/>
    <w:link w:val="24"/>
    <w:qFormat/>
    <w:uiPriority w:val="0"/>
    <w:rPr>
      <w:rFonts w:ascii="Arial" w:hAnsi="Arial" w:eastAsia="宋体" w:cs="Times New Roman"/>
      <w:kern w:val="0"/>
      <w:szCs w:val="21"/>
      <w14:ligatures w14:val="none"/>
    </w:rPr>
  </w:style>
  <w:style w:type="paragraph" w:customStyle="1" w:styleId="30">
    <w:name w:val="正文（要点）"/>
    <w:basedOn w:val="24"/>
    <w:link w:val="28"/>
    <w:qFormat/>
    <w:uiPriority w:val="0"/>
    <w:pPr>
      <w:ind w:firstLine="422"/>
    </w:pPr>
    <w:rPr>
      <w:b/>
    </w:rPr>
  </w:style>
  <w:style w:type="paragraph" w:customStyle="1" w:styleId="31">
    <w:name w:val="标题 4（FF）"/>
    <w:basedOn w:val="5"/>
    <w:next w:val="24"/>
    <w:qFormat/>
    <w:uiPriority w:val="0"/>
    <w:pPr>
      <w:numPr>
        <w:ilvl w:val="3"/>
        <w:numId w:val="1"/>
      </w:numPr>
      <w:tabs>
        <w:tab w:val="left" w:pos="864"/>
      </w:tabs>
      <w:spacing w:before="280" w:after="156" w:line="376" w:lineRule="auto"/>
    </w:pPr>
    <w:rPr>
      <w:rFonts w:ascii="Arial" w:hAnsi="Arial" w:eastAsia="黑体" w:cs="Times New Roman"/>
      <w:bCs w:val="0"/>
      <w:sz w:val="28"/>
    </w:rPr>
  </w:style>
  <w:style w:type="character" w:customStyle="1" w:styleId="32">
    <w:name w:val="标题 1 字符"/>
    <w:basedOn w:val="10"/>
    <w:link w:val="2"/>
    <w:qFormat/>
    <w:uiPriority w:val="9"/>
    <w:rPr>
      <w:rFonts w:ascii="Arial" w:hAnsi="Arial" w:eastAsia="仿宋" w:cs="Times New Roman"/>
      <w:b/>
      <w:bCs/>
      <w:kern w:val="44"/>
      <w:sz w:val="32"/>
      <w:szCs w:val="44"/>
      <w14:ligatures w14:val="none"/>
    </w:rPr>
  </w:style>
  <w:style w:type="character" w:customStyle="1" w:styleId="33">
    <w:name w:val="标题 2 字符"/>
    <w:basedOn w:val="10"/>
    <w:link w:val="3"/>
    <w:qFormat/>
    <w:uiPriority w:val="9"/>
    <w:rPr>
      <w:rFonts w:eastAsia="仿宋" w:asciiTheme="majorHAnsi" w:hAnsiTheme="majorHAnsi" w:cstheme="majorBidi"/>
      <w:b/>
      <w:bCs/>
      <w:kern w:val="0"/>
      <w:sz w:val="30"/>
      <w:szCs w:val="32"/>
      <w14:ligatures w14:val="none"/>
    </w:rPr>
  </w:style>
  <w:style w:type="character" w:customStyle="1" w:styleId="34">
    <w:name w:val="标题 3 字符"/>
    <w:basedOn w:val="10"/>
    <w:link w:val="4"/>
    <w:qFormat/>
    <w:uiPriority w:val="9"/>
    <w:rPr>
      <w:rFonts w:ascii="Arial" w:hAnsi="Arial" w:eastAsia="仿宋" w:cs="Times New Roman"/>
      <w:b/>
      <w:bCs/>
      <w:kern w:val="0"/>
      <w:sz w:val="28"/>
      <w:szCs w:val="32"/>
      <w14:ligatures w14:val="none"/>
    </w:rPr>
  </w:style>
  <w:style w:type="paragraph" w:styleId="35">
    <w:name w:val="List Paragraph"/>
    <w:basedOn w:val="1"/>
    <w:qFormat/>
    <w:uiPriority w:val="34"/>
    <w:pPr>
      <w:ind w:firstLine="420"/>
    </w:pPr>
  </w:style>
  <w:style w:type="character" w:customStyle="1" w:styleId="36">
    <w:name w:val="页眉 字符"/>
    <w:basedOn w:val="10"/>
    <w:link w:val="7"/>
    <w:qFormat/>
    <w:uiPriority w:val="99"/>
    <w:rPr>
      <w:rFonts w:ascii="Arial" w:hAnsi="Arial" w:eastAsia="仿宋" w:cs="Times New Roman"/>
      <w:kern w:val="0"/>
      <w:sz w:val="18"/>
      <w:szCs w:val="18"/>
      <w14:ligatures w14:val="none"/>
    </w:rPr>
  </w:style>
  <w:style w:type="character" w:customStyle="1" w:styleId="37">
    <w:name w:val="页脚 字符"/>
    <w:basedOn w:val="10"/>
    <w:link w:val="6"/>
    <w:qFormat/>
    <w:uiPriority w:val="99"/>
    <w:rPr>
      <w:rFonts w:ascii="Arial" w:hAnsi="Arial" w:eastAsia="仿宋" w:cs="Times New Roman"/>
      <w:kern w:val="0"/>
      <w:sz w:val="18"/>
      <w:szCs w:val="18"/>
      <w14:ligatures w14: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1778</Words>
  <Characters>1878</Characters>
  <Lines>56</Lines>
  <Paragraphs>15</Paragraphs>
  <TotalTime>37</TotalTime>
  <ScaleCrop>false</ScaleCrop>
  <LinksUpToDate>false</LinksUpToDate>
  <CharactersWithSpaces>1878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2024-07-05T01:52:00Z</dcterms:created>
  <dc:creator>wen feng</dc:creator>
  <cp:lastModifiedBy>WPS_1508835828</cp:lastModifiedBy>
  <dcterms:modified xsi:type="dcterms:W3CDTF">2024-11-19T01:48:56Z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8C0771BD004F4A5FBF9A7C0EA2D5515B_13</vt:lpwstr>
  </property>
</Properties>
</file>